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AFFAYA RIM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affaya-rim</w:t>
        </w:r>
      </w:hyperlink>
    </w:p>
    <w:p>
      <w:pPr>
        <w:numPr>
          <w:ilvl w:val="0"/>
          <w:numId w:val="1"/>
        </w:numPr>
      </w:pPr>
      <w:r>
        <w:rPr/>
        <w:t xml:space="preserve"> ORCID : </w:t>
      </w:r>
      <w:hyperlink r:id="rId9" w:history="1">
        <w:r>
          <w:rPr>
            <w:color w:val="#410a8c"/>
            <w:u w:val="single"/>
          </w:rPr>
          <w:t xml:space="preserve">0000-0002-5004-3178</w:t>
        </w:r>
      </w:hyperlink>
    </w:p>
    <w:p>
      <w:pPr>
        <w:numPr>
          <w:ilvl w:val="0"/>
          <w:numId w:val="1"/>
        </w:numPr>
      </w:pPr>
      <w:r>
        <w:rPr/>
        <w:t xml:space="preserve"> IdRef : </w:t>
      </w:r>
      <w:hyperlink r:id="rId10" w:history="1">
        <w:r>
          <w:rPr>
            <w:color w:val="#410a8c"/>
            <w:u w:val="single"/>
          </w:rPr>
          <w:t xml:space="preserve">259904325</w:t>
        </w:r>
      </w:hyperlink>
    </w:p>
    <w:p>
      <w:pPr>
        <w:numPr>
          <w:ilvl w:val="0"/>
          <w:numId w:val="1"/>
        </w:numPr>
      </w:pPr>
      <w:r>
        <w:rPr/>
        <w:t xml:space="preserve"> VIAF : </w:t>
      </w:r>
      <w:hyperlink r:id="rId11" w:history="1">
        <w:r>
          <w:rPr>
            <w:color w:val="#410a8c"/>
            <w:u w:val="single"/>
          </w:rPr>
          <w:t xml:space="preserve">12158628154722921639</w:t>
        </w:r>
      </w:hyperlink>
    </w:p>
    <w:p>
      <w:pPr>
        <w:spacing w:before="600"/>
      </w:pPr>
    </w:p>
    <w:p>
      <w:pPr>
        <w:pStyle w:val="Heading2"/>
      </w:pPr>
      <w:r>
        <w:rPr>
          <w:color w:val="1e198e"/>
          <w:b w:val="1"/>
          <w:bCs w:val="1"/>
        </w:rPr>
        <w:t xml:space="preserve">Présentation</w:t>
      </w:r>
    </w:p>
    <w:p>
      <w:pPr>
        <w:spacing w:after="100"/>
      </w:pPr>
    </w:p>
    <w:p>
      <w:pPr/>
      <w:r>
        <w:rPr/>
        <w:t xml:space="preserve">Ma thèse en anthropologie porte sur le commerce transnational initié par des acteurs marocains ou d’origine marocaine entre l’Europe et le Maroc qui met en évidence des pratiques consommatoires révélant des espaces relationnels et temporels complexes. Le travail de terrain et de réflexion que je mène dans le cadre de ma thèse en anthropologie consiste à comprendre le dispositif de circulation transnationale à travers trois activités de circulation marchande : le transport, l’ameublement et le mariage.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L’atelier d’écriture « Maghreb, travaux en cours » ou les mains dans le moteur</w:t>
              </w:r>
            </w:hyperlink>
          </w:p>
          <w:p>
            <w:pPr/>
            <w:hyperlink r:id="rId13" w:history="1">
              <w:r>
                <w:rPr>
                  <w:color w:val="#410a8c"/>
                  <w:u w:val="single"/>
                </w:rPr>
                <w:t xml:space="preserve">Rim Affaya</w:t>
              </w:r>
            </w:hyperlink>
            <w:r>
              <w:rPr/>
              <w:t xml:space="preserve">,</w:t>
            </w:r>
            <w:hyperlink r:id="rId14" w:history="1">
              <w:r>
                <w:rPr>
                  <w:color w:val="#410a8c"/>
                  <w:u w:val="single"/>
                </w:rPr>
                <w:t xml:space="preserve">Lucille Florenza</w:t>
              </w:r>
            </w:hyperlink>
            <w:r>
              <w:rPr/>
              <w:t xml:space="preserve">,</w:t>
            </w:r>
            <w:hyperlink r:id="rId15" w:history="1">
              <w:r>
                <w:rPr>
                  <w:color w:val="#410a8c"/>
                  <w:u w:val="single"/>
                </w:rPr>
                <w:t xml:space="preserve">Didier Guignard</w:t>
              </w:r>
            </w:hyperlink>
          </w:p>
          <w:p>
            <w:pPr/>
            <w:r>
              <w:rPr>
                <w:i w:val="1"/>
                <w:iCs w:val="1"/>
              </w:rPr>
              <w:t xml:space="preserve">L'Année du Maghreb</w:t>
            </w:r>
            <w:r>
              <w:rPr/>
              <w:t xml:space="preserve">, 2024, 32, </w:t>
            </w:r>
            <w:hyperlink r:id="rId16" w:history="1">
              <w:r>
                <w:rPr>
                  <w:color w:val="#410a8c"/>
                  <w:u w:val="single"/>
                </w:rPr>
                <w:t xml:space="preserve">⟨10.4000/1360w⟩</w:t>
              </w:r>
            </w:hyperlink>
          </w:p>
          <w:p>
            <w:pPr/>
            <w:r>
              <w:rPr/>
              <w:t xml:space="preserve">Article dans une revue</w:t>
            </w:r>
          </w:p>
          <w:p>
            <w:pPr/>
            <w:hyperlink r:id="rId12" w:history="1">
              <w:r>
                <w:rPr>
                  <w:color w:val="#410a8c"/>
                  <w:u w:val="single"/>
                </w:rPr>
                <w:t xml:space="preserve">hal-04934378v1</w:t>
              </w:r>
            </w:hyperlink>
          </w:p>
        </w:tc>
      </w:tr>
      <w:tr>
        <w:trPr/>
        <w:tc>
          <w:tcPr>
            <w:noWrap/>
          </w:tcPr>
          <w:p>
            <w:pPr>
              <w:spacing w:after="200"/>
            </w:pPr>
            <w:hyperlink r:id="rId17" w:history="1">
              <w:r>
                <w:rPr>
                  <w:color w:val="1e198e"/>
                  <w:b w:val="1"/>
                  <w:bCs w:val="1"/>
                  <w:u w:val="single"/>
                </w:rPr>
                <w:t xml:space="preserve">L'atelier d'écriture « Maghreb, travaux en cours » ou les mains dans le moteur</w:t>
              </w:r>
            </w:hyperlink>
          </w:p>
          <w:p>
            <w:pPr/>
            <w:hyperlink r:id="rId13" w:history="1">
              <w:r>
                <w:rPr>
                  <w:color w:val="#410a8c"/>
                  <w:u w:val="single"/>
                </w:rPr>
                <w:t xml:space="preserve">Rim Affaya</w:t>
              </w:r>
            </w:hyperlink>
            <w:r>
              <w:rPr/>
              <w:t xml:space="preserve">,</w:t>
            </w:r>
            <w:hyperlink r:id="rId14" w:history="1">
              <w:r>
                <w:rPr>
                  <w:color w:val="#410a8c"/>
                  <w:u w:val="single"/>
                </w:rPr>
                <w:t xml:space="preserve">Lucille Florenza</w:t>
              </w:r>
            </w:hyperlink>
            <w:r>
              <w:rPr/>
              <w:t xml:space="preserve">,</w:t>
            </w:r>
            <w:hyperlink r:id="rId15" w:history="1">
              <w:r>
                <w:rPr>
                  <w:color w:val="#410a8c"/>
                  <w:u w:val="single"/>
                </w:rPr>
                <w:t xml:space="preserve">Didier Guignard</w:t>
              </w:r>
            </w:hyperlink>
          </w:p>
          <w:p>
            <w:pPr/>
            <w:r>
              <w:rPr>
                <w:i w:val="1"/>
                <w:iCs w:val="1"/>
              </w:rPr>
              <w:t xml:space="preserve">L’Année du Maghreb</w:t>
            </w:r>
            <w:r>
              <w:rPr/>
              <w:t xml:space="preserve">, 2024, 32</w:t>
            </w:r>
          </w:p>
          <w:p>
            <w:pPr/>
            <w:r>
              <w:rPr/>
              <w:t xml:space="preserve">Article dans une revue</w:t>
            </w:r>
          </w:p>
          <w:p>
            <w:pPr/>
            <w:hyperlink r:id="rId17" w:history="1">
              <w:r>
                <w:rPr>
                  <w:color w:val="#410a8c"/>
                  <w:u w:val="single"/>
                </w:rPr>
                <w:t xml:space="preserve">hal-05196180v1</w:t>
              </w:r>
            </w:hyperlink>
          </w:p>
        </w:tc>
      </w:tr>
      <w:tr>
        <w:trPr/>
        <w:tc>
          <w:tcPr>
            <w:noWrap/>
          </w:tcPr>
          <w:p>
            <w:pPr>
              <w:spacing w:after="200"/>
            </w:pPr>
            <w:hyperlink r:id="rId18" w:history="1">
              <w:r>
                <w:rPr>
                  <w:color w:val="1e198e"/>
                  <w:b w:val="1"/>
                  <w:bCs w:val="1"/>
                  <w:u w:val="single"/>
                </w:rPr>
                <w:t xml:space="preserve">Le faire-comparer. L’intersubjectivité à l’œuvre dans les échanges marchands euro-marocains</w:t>
              </w:r>
            </w:hyperlink>
          </w:p>
          <w:p>
            <w:pPr/>
            <w:hyperlink r:id="rId13" w:history="1">
              <w:r>
                <w:rPr>
                  <w:color w:val="#410a8c"/>
                  <w:u w:val="single"/>
                </w:rPr>
                <w:t xml:space="preserve">Rim Affaya</w:t>
              </w:r>
            </w:hyperlink>
          </w:p>
          <w:p>
            <w:pPr/>
            <w:r>
              <w:rPr>
                <w:i w:val="1"/>
                <w:iCs w:val="1"/>
              </w:rPr>
              <w:t xml:space="preserve">Ethnographiques.org : revue en ligne de sciences humaines et sociales</w:t>
            </w:r>
            <w:r>
              <w:rPr/>
              <w:t xml:space="preserve">, 2021, Ce que la comparaison fait à l’ethnographie, 41</w:t>
            </w:r>
          </w:p>
          <w:p>
            <w:pPr/>
            <w:r>
              <w:rPr/>
              <w:t xml:space="preserve">Article dans une revue</w:t>
            </w:r>
          </w:p>
          <w:p>
            <w:pPr/>
            <w:hyperlink r:id="rId18" w:history="1">
              <w:r>
                <w:rPr>
                  <w:color w:val="#410a8c"/>
                  <w:u w:val="single"/>
                </w:rPr>
                <w:t xml:space="preserve">halshs-03406156v1</w:t>
              </w:r>
            </w:hyperlink>
          </w:p>
        </w:tc>
      </w:tr>
      <w:tr>
        <w:trPr/>
        <w:tc>
          <w:tcPr>
            <w:noWrap/>
          </w:tcPr>
          <w:p>
            <w:pPr>
              <w:spacing w:after="200"/>
            </w:pPr>
            <w:hyperlink r:id="rId19" w:history="1">
              <w:r>
                <w:rPr>
                  <w:color w:val="1e198e"/>
                  <w:b w:val="1"/>
                  <w:bCs w:val="1"/>
                  <w:u w:val="single"/>
                </w:rPr>
                <w:t xml:space="preserve">Maropéen.nes. De l’altérisation à la négociation des appartenances</w:t>
              </w:r>
            </w:hyperlink>
          </w:p>
          <w:p>
            <w:pPr/>
            <w:hyperlink r:id="rId13" w:history="1">
              <w:r>
                <w:rPr>
                  <w:color w:val="#410a8c"/>
                  <w:u w:val="single"/>
                </w:rPr>
                <w:t xml:space="preserve">Rim Affaya</w:t>
              </w:r>
            </w:hyperlink>
          </w:p>
          <w:p>
            <w:pPr/>
            <w:r>
              <w:rPr>
                <w:i w:val="1"/>
                <w:iCs w:val="1"/>
              </w:rPr>
              <w:t xml:space="preserve">L'Année du Maghreb</w:t>
            </w:r>
            <w:r>
              <w:rPr/>
              <w:t xml:space="preserve">, 2021, 25, pp.187 - 203. </w:t>
            </w:r>
            <w:hyperlink r:id="rId20" w:history="1">
              <w:r>
                <w:rPr>
                  <w:color w:val="#410a8c"/>
                  <w:u w:val="single"/>
                </w:rPr>
                <w:t xml:space="preserve">⟨10.4000/anneemaghreb.8040⟩</w:t>
              </w:r>
            </w:hyperlink>
          </w:p>
          <w:p>
            <w:pPr/>
            <w:r>
              <w:rPr/>
              <w:t xml:space="preserve">Article dans une revue</w:t>
            </w:r>
          </w:p>
          <w:p>
            <w:pPr/>
            <w:hyperlink r:id="rId19" w:history="1">
              <w:r>
                <w:rPr>
                  <w:color w:val="#410a8c"/>
                  <w:u w:val="single"/>
                </w:rPr>
                <w:t xml:space="preserve">halshs-03309799v1</w:t>
              </w:r>
            </w:hyperlink>
          </w:p>
        </w:tc>
      </w:tr>
      <w:tr>
        <w:trPr/>
        <w:tc>
          <w:tcPr>
            <w:noWrap/>
          </w:tcPr>
          <w:p>
            <w:pPr>
              <w:spacing w:after="200"/>
            </w:pPr>
            <w:hyperlink r:id="rId21" w:history="1">
              <w:r>
                <w:rPr>
                  <w:color w:val="1e198e"/>
                  <w:b w:val="1"/>
                  <w:bCs w:val="1"/>
                  <w:u w:val="single"/>
                </w:rPr>
                <w:t xml:space="preserve">Quatre demoiselles d’Avignon : marchandisation du « mariage marocain » en Europe et fin du sujet ethnique</w:t>
              </w:r>
            </w:hyperlink>
          </w:p>
          <w:p>
            <w:pPr/>
            <w:hyperlink r:id="rId13" w:history="1">
              <w:r>
                <w:rPr>
                  <w:color w:val="#410a8c"/>
                  <w:u w:val="single"/>
                </w:rPr>
                <w:t xml:space="preserve">Rim Affaya</w:t>
              </w:r>
            </w:hyperlink>
          </w:p>
          <w:p>
            <w:pPr/>
            <w:r>
              <w:rPr>
                <w:i w:val="1"/>
                <w:iCs w:val="1"/>
              </w:rPr>
              <w:t xml:space="preserve">Revue Européenne des Migrations Internationales</w:t>
            </w:r>
            <w:r>
              <w:rPr/>
              <w:t xml:space="preserve">, 2021, Nouvelles questions ethniques, 37 (3-4), pp.57-82. </w:t>
            </w:r>
            <w:hyperlink r:id="rId22" w:history="1">
              <w:r>
                <w:rPr>
                  <w:color w:val="#410a8c"/>
                  <w:u w:val="single"/>
                </w:rPr>
                <w:t xml:space="preserve">⟨10.4000/remi.19140⟩</w:t>
              </w:r>
            </w:hyperlink>
          </w:p>
          <w:p>
            <w:pPr/>
            <w:r>
              <w:rPr/>
              <w:t xml:space="preserve">Article dans une revue</w:t>
            </w:r>
          </w:p>
          <w:p>
            <w:pPr/>
            <w:hyperlink r:id="rId21" w:history="1">
              <w:r>
                <w:rPr>
                  <w:color w:val="#410a8c"/>
                  <w:u w:val="single"/>
                </w:rPr>
                <w:t xml:space="preserve">halshs-03681442v1</w:t>
              </w:r>
            </w:hyperlink>
          </w:p>
        </w:tc>
      </w:tr>
      <w:tr>
        <w:trPr/>
        <w:tc>
          <w:tcPr>
            <w:noWrap/>
          </w:tcPr>
          <w:p>
            <w:pPr>
              <w:spacing w:after="200"/>
            </w:pPr>
            <w:hyperlink r:id="rId23" w:history="1">
              <w:r>
                <w:rPr>
                  <w:color w:val="1e198e"/>
                  <w:b w:val="1"/>
                  <w:bCs w:val="1"/>
                  <w:u w:val="single"/>
                </w:rPr>
                <w:t xml:space="preserve">Réflexions contre les paires antithétiques de l’anthropologie.</w:t>
              </w:r>
            </w:hyperlink>
          </w:p>
          <w:p>
            <w:pPr/>
            <w:hyperlink r:id="rId13" w:history="1">
              <w:r>
                <w:rPr>
                  <w:color w:val="#410a8c"/>
                  <w:u w:val="single"/>
                </w:rPr>
                <w:t xml:space="preserve">Rim Affaya</w:t>
              </w:r>
            </w:hyperlink>
          </w:p>
          <w:p>
            <w:pPr/>
            <w:r>
              <w:rPr>
                <w:i w:val="1"/>
                <w:iCs w:val="1"/>
              </w:rPr>
              <w:t xml:space="preserve">Terrains/Théories</w:t>
            </w:r>
            <w:r>
              <w:rPr/>
              <w:t xml:space="preserve">, 2020, Le transmissible et l’intransmissible de la pratique ethnographique, 12, n.p. </w:t>
            </w:r>
            <w:hyperlink r:id="rId24" w:history="1">
              <w:r>
                <w:rPr>
                  <w:color w:val="#410a8c"/>
                  <w:u w:val="single"/>
                </w:rPr>
                <w:t xml:space="preserve">⟨10.4000/teth.2872⟩</w:t>
              </w:r>
            </w:hyperlink>
          </w:p>
          <w:p>
            <w:pPr/>
            <w:r>
              <w:rPr/>
              <w:t xml:space="preserve">Article dans une revue</w:t>
            </w:r>
          </w:p>
          <w:p>
            <w:pPr/>
            <w:hyperlink r:id="rId23" w:history="1">
              <w:r>
                <w:rPr>
                  <w:color w:val="#410a8c"/>
                  <w:u w:val="single"/>
                </w:rPr>
                <w:t xml:space="preserve">halshs-03309991v1</w:t>
              </w:r>
            </w:hyperlink>
          </w:p>
        </w:tc>
      </w:tr>
      <w:tr>
        <w:trPr/>
        <w:tc>
          <w:tcPr>
            <w:noWrap/>
          </w:tcPr>
          <w:p>
            <w:pPr>
              <w:spacing w:after="200"/>
            </w:pPr>
            <w:hyperlink r:id="rId25" w:history="1">
              <w:r>
                <w:rPr>
                  <w:color w:val="1e198e"/>
                  <w:b w:val="1"/>
                  <w:bCs w:val="1"/>
                  <w:u w:val="single"/>
                </w:rPr>
                <w:t xml:space="preserve">Unity and Diversity in Euro-Mediterranean Identities: Euro-European and Arabo-Mediterranean Dimensions</w:t>
              </w:r>
            </w:hyperlink>
          </w:p>
          <w:p>
            <w:pPr/>
            <w:hyperlink r:id="rId13" w:history="1">
              <w:r>
                <w:rPr>
                  <w:color w:val="#410a8c"/>
                  <w:u w:val="single"/>
                </w:rPr>
                <w:t xml:space="preserve">Rim Affaya</w:t>
              </w:r>
            </w:hyperlink>
          </w:p>
          <w:p>
            <w:pPr/>
            <w:r>
              <w:rPr>
                <w:i w:val="1"/>
                <w:iCs w:val="1"/>
              </w:rPr>
              <w:t xml:space="preserve">International Journal of Euro-Mediterranean Studies</w:t>
            </w:r>
            <w:r>
              <w:rPr/>
              <w:t xml:space="preserve">, 2009, 2 (1)</w:t>
            </w:r>
          </w:p>
          <w:p>
            <w:pPr/>
            <w:r>
              <w:rPr/>
              <w:t xml:space="preserve">Article dans une revue</w:t>
            </w:r>
          </w:p>
          <w:p>
            <w:pPr/>
            <w:hyperlink r:id="rId25" w:history="1">
              <w:r>
                <w:rPr>
                  <w:color w:val="#410a8c"/>
                  <w:u w:val="single"/>
                </w:rPr>
                <w:t xml:space="preserve">halshs-03311350v1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L'entrepreneuriat ethnique n'est pas ethnique. Une anthropologie de la résistance par la consommation des Marocains en Europe</w:t>
              </w:r>
            </w:hyperlink>
          </w:p>
          <w:p>
            <w:pPr/>
            <w:hyperlink r:id="rId13" w:history="1">
              <w:r>
                <w:rPr>
                  <w:color w:val="#410a8c"/>
                  <w:u w:val="single"/>
                </w:rPr>
                <w:t xml:space="preserve">Rim Affaya</w:t>
              </w:r>
            </w:hyperlink>
          </w:p>
          <w:p>
            <w:pPr/>
            <w:r>
              <w:rPr>
                <w:i w:val="1"/>
                <w:iCs w:val="1"/>
              </w:rPr>
              <w:t xml:space="preserve">Migration, altérité et internationalisation</w:t>
            </w:r>
            <w:r>
              <w:rPr/>
              <w:t xml:space="preserve">, Association Française de Sociologie, Jul 2023, Lyon, France</w:t>
            </w:r>
          </w:p>
          <w:p>
            <w:pPr/>
            <w:r>
              <w:rPr/>
              <w:t xml:space="preserve">Communication dans un congrès</w:t>
            </w:r>
          </w:p>
          <w:p>
            <w:pPr/>
            <w:hyperlink r:id="rId26" w:history="1">
              <w:r>
                <w:rPr>
                  <w:color w:val="#410a8c"/>
                  <w:u w:val="single"/>
                </w:rPr>
                <w:t xml:space="preserve">hal-04215451v1</w:t>
              </w:r>
            </w:hyperlink>
          </w:p>
        </w:tc>
      </w:tr>
      <w:tr>
        <w:trPr/>
        <w:tc>
          <w:tcPr>
            <w:noWrap/>
          </w:tcPr>
          <w:p>
            <w:pPr>
              <w:spacing w:after="200"/>
            </w:pPr>
            <w:hyperlink r:id="rId27" w:history="1">
              <w:r>
                <w:rPr>
                  <w:color w:val="1e198e"/>
                  <w:b w:val="1"/>
                  <w:bCs w:val="1"/>
                  <w:u w:val="single"/>
                </w:rPr>
                <w:t xml:space="preserve">Bifurquer du chemin des marges par le marché de l’origine</w:t>
              </w:r>
            </w:hyperlink>
          </w:p>
          <w:p>
            <w:pPr/>
            <w:hyperlink r:id="rId13" w:history="1">
              <w:r>
                <w:rPr>
                  <w:color w:val="#410a8c"/>
                  <w:u w:val="single"/>
                </w:rPr>
                <w:t xml:space="preserve">Rim Affaya</w:t>
              </w:r>
            </w:hyperlink>
          </w:p>
          <w:p>
            <w:pPr/>
            <w:r>
              <w:rPr>
                <w:i w:val="1"/>
                <w:iCs w:val="1"/>
              </w:rPr>
              <w:t xml:space="preserve">10e Rencontres Jeunes et Sociétés: [ Probable / Improbable ] Transclasse, Transgenre, Transnational.</w:t>
            </w:r>
            <w:r>
              <w:rPr/>
              <w:t xml:space="preserve">, Cereq; Iremam; LEST; Mucem; Aix-Marseille Université; INJEP, Oct 2021, Marseille, France</w:t>
            </w:r>
          </w:p>
          <w:p>
            <w:pPr/>
            <w:r>
              <w:rPr/>
              <w:t xml:space="preserve">Communication dans un congrès</w:t>
            </w:r>
          </w:p>
          <w:p>
            <w:pPr/>
            <w:hyperlink r:id="rId27" w:history="1">
              <w:r>
                <w:rPr>
                  <w:color w:val="#410a8c"/>
                  <w:u w:val="single"/>
                </w:rPr>
                <w:t xml:space="preserve">halshs-03479372v1</w:t>
              </w:r>
            </w:hyperlink>
          </w:p>
        </w:tc>
      </w:tr>
      <w:tr>
        <w:trPr/>
        <w:tc>
          <w:tcPr>
            <w:noWrap/>
          </w:tcPr>
          <w:p>
            <w:pPr>
              <w:spacing w:after="200"/>
            </w:pPr>
            <w:hyperlink r:id="rId28" w:history="1">
              <w:r>
                <w:rPr>
                  <w:color w:val="1e198e"/>
                  <w:b w:val="1"/>
                  <w:bCs w:val="1"/>
                  <w:u w:val="single"/>
                </w:rPr>
                <w:t xml:space="preserve">Les Serrafas : Système de circulation d'argent entre le Maroc et l'Europe</w:t>
              </w:r>
            </w:hyperlink>
          </w:p>
          <w:p>
            <w:pPr/>
            <w:hyperlink r:id="rId13" w:history="1">
              <w:r>
                <w:rPr>
                  <w:color w:val="#410a8c"/>
                  <w:u w:val="single"/>
                </w:rPr>
                <w:t xml:space="preserve">Rim Affaya</w:t>
              </w:r>
            </w:hyperlink>
          </w:p>
          <w:p>
            <w:pPr/>
            <w:r>
              <w:rPr>
                <w:i w:val="1"/>
                <w:iCs w:val="1"/>
              </w:rPr>
              <w:t xml:space="preserve">L'argent des migrations : Séminaire GLOBAL</w:t>
            </w:r>
            <w:r>
              <w:rPr/>
              <w:t xml:space="preserve">, Institut Convergences Migrations, Jun 2021, Paris, France</w:t>
            </w:r>
          </w:p>
          <w:p>
            <w:pPr/>
            <w:r>
              <w:rPr/>
              <w:t xml:space="preserve">Communication dans un congrès</w:t>
            </w:r>
          </w:p>
          <w:p>
            <w:pPr/>
            <w:hyperlink r:id="rId28" w:history="1">
              <w:r>
                <w:rPr>
                  <w:color w:val="#410a8c"/>
                  <w:u w:val="single"/>
                </w:rPr>
                <w:t xml:space="preserve">halshs-03309813v1</w:t>
              </w:r>
            </w:hyperlink>
          </w:p>
        </w:tc>
      </w:tr>
      <w:tr>
        <w:trPr/>
        <w:tc>
          <w:tcPr>
            <w:noWrap/>
          </w:tcPr>
          <w:p>
            <w:pPr>
              <w:spacing w:after="200"/>
            </w:pPr>
            <w:hyperlink r:id="rId29" w:history="1">
              <w:r>
                <w:rPr>
                  <w:color w:val="1e198e"/>
                  <w:b w:val="1"/>
                  <w:bCs w:val="1"/>
                  <w:u w:val="single"/>
                </w:rPr>
                <w:t xml:space="preserve">Le Made in Maroc en Europe : la liberté de circulation et la culture décorative comme source ethnographique des réseaux de l’entrepreneuriat migrant</w:t>
              </w:r>
            </w:hyperlink>
          </w:p>
          <w:p>
            <w:pPr/>
            <w:hyperlink r:id="rId13" w:history="1">
              <w:r>
                <w:rPr>
                  <w:color w:val="#410a8c"/>
                  <w:u w:val="single"/>
                </w:rPr>
                <w:t xml:space="preserve">Rim Affaya</w:t>
              </w:r>
            </w:hyperlink>
          </w:p>
          <w:p>
            <w:pPr/>
            <w:r>
              <w:rPr>
                <w:i w:val="1"/>
                <w:iCs w:val="1"/>
              </w:rPr>
              <w:t xml:space="preserve">Économie alternative : religiosité, ruralité, migration</w:t>
            </w:r>
            <w:r>
              <w:rPr/>
              <w:t xml:space="preserve">, Ecole des Hautes Etudes en Sciences Sociales; Université PSL, Feb 2019, Paris, France</w:t>
            </w:r>
          </w:p>
          <w:p>
            <w:pPr/>
            <w:r>
              <w:rPr/>
              <w:t xml:space="preserve">Communication dans un congrès</w:t>
            </w:r>
          </w:p>
          <w:p>
            <w:pPr/>
            <w:hyperlink r:id="rId29" w:history="1">
              <w:r>
                <w:rPr>
                  <w:color w:val="#410a8c"/>
                  <w:u w:val="single"/>
                </w:rPr>
                <w:t xml:space="preserve">halshs-03311351v1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1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ffaya-rim" TargetMode="External"/><Relationship Id="rId9" Type="http://schemas.openxmlformats.org/officeDocument/2006/relationships/hyperlink" Target="https://orcid.org/0000-0002-5004-3178" TargetMode="External"/><Relationship Id="rId10" Type="http://schemas.openxmlformats.org/officeDocument/2006/relationships/hyperlink" Target="https://www.idref.fr/259904325" TargetMode="External"/><Relationship Id="rId11" Type="http://schemas.openxmlformats.org/officeDocument/2006/relationships/hyperlink" Target="https://viaf.org/viaf/12158628154722921639" TargetMode="External"/><Relationship Id="rId12" Type="http://schemas.openxmlformats.org/officeDocument/2006/relationships/hyperlink" Target="https://hal.science/hal-04934378v1" TargetMode="External"/><Relationship Id="rId13" Type="http://schemas.openxmlformats.org/officeDocument/2006/relationships/hyperlink" Target="https://hal.science/search/index/?q=*&amp;authFullName_s=Rim Affaya" TargetMode="External"/><Relationship Id="rId14" Type="http://schemas.openxmlformats.org/officeDocument/2006/relationships/hyperlink" Target="https://hal.science/search/index/?q=*&amp;authFullName_s=Lucille Florenza" TargetMode="External"/><Relationship Id="rId15" Type="http://schemas.openxmlformats.org/officeDocument/2006/relationships/hyperlink" Target="https://hal.science/search/index/?q=*&amp;authFullName_s=Didier Guignard" TargetMode="External"/><Relationship Id="rId16" Type="http://schemas.openxmlformats.org/officeDocument/2006/relationships/hyperlink" Target="https://dx.doi.org/10.4000/1360w" TargetMode="External"/><Relationship Id="rId17" Type="http://schemas.openxmlformats.org/officeDocument/2006/relationships/hyperlink" Target="https://hal.science/hal-05196180v1" TargetMode="External"/><Relationship Id="rId18" Type="http://schemas.openxmlformats.org/officeDocument/2006/relationships/hyperlink" Target="https://shs.hal.science/halshs-03406156v1" TargetMode="External"/><Relationship Id="rId19" Type="http://schemas.openxmlformats.org/officeDocument/2006/relationships/hyperlink" Target="https://shs.hal.science/halshs-03309799v1" TargetMode="External"/><Relationship Id="rId20" Type="http://schemas.openxmlformats.org/officeDocument/2006/relationships/hyperlink" Target="https://dx.doi.org/10.4000/anneemaghreb.8040" TargetMode="External"/><Relationship Id="rId21" Type="http://schemas.openxmlformats.org/officeDocument/2006/relationships/hyperlink" Target="https://shs.hal.science/halshs-03681442v1" TargetMode="External"/><Relationship Id="rId22" Type="http://schemas.openxmlformats.org/officeDocument/2006/relationships/hyperlink" Target="https://dx.doi.org/10.4000/remi.19140" TargetMode="External"/><Relationship Id="rId23" Type="http://schemas.openxmlformats.org/officeDocument/2006/relationships/hyperlink" Target="https://shs.hal.science/halshs-03309991v1" TargetMode="External"/><Relationship Id="rId24" Type="http://schemas.openxmlformats.org/officeDocument/2006/relationships/hyperlink" Target="https://dx.doi.org/10.4000/teth.2872" TargetMode="External"/><Relationship Id="rId25" Type="http://schemas.openxmlformats.org/officeDocument/2006/relationships/hyperlink" Target="https://shs.hal.science/halshs-03311350v1" TargetMode="External"/><Relationship Id="rId26" Type="http://schemas.openxmlformats.org/officeDocument/2006/relationships/hyperlink" Target="https://hal.science/hal-04215451v1" TargetMode="External"/><Relationship Id="rId27" Type="http://schemas.openxmlformats.org/officeDocument/2006/relationships/hyperlink" Target="https://shs.hal.science/halshs-03479372v1" TargetMode="External"/><Relationship Id="rId28" Type="http://schemas.openxmlformats.org/officeDocument/2006/relationships/hyperlink" Target="https://shs.hal.science/halshs-03309813v1" TargetMode="External"/><Relationship Id="rId29" Type="http://schemas.openxmlformats.org/officeDocument/2006/relationships/hyperlink" Target="https://shs.hal.science/halshs-03311351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AFFAYA RIM</dc:title>
  <dc:description>CV</dc:description>
  <dc:subject/>
  <cp:keywords/>
  <cp:category/>
  <cp:lastModifiedBy/>
  <dcterms:created xsi:type="dcterms:W3CDTF">2026-05-15T11:35:51+02:00</dcterms:created>
  <dcterms:modified xsi:type="dcterms:W3CDTF">2026-05-15T11:35:51+02:00</dcterms:modified>
</cp:coreProperties>
</file>

<file path=docProps/custom.xml><?xml version="1.0" encoding="utf-8"?>
<Properties xmlns="http://schemas.openxmlformats.org/officeDocument/2006/custom-properties" xmlns:vt="http://schemas.openxmlformats.org/officeDocument/2006/docPropsVTypes"/>
</file>