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Carolina Coutinho-Maussion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Passaporte para a China e o noivado de Lygia Fagundes Telles com a realidade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Carolina Coutinho-Maussion</w:t>
              </w:r>
            </w:hyperlink>
          </w:p>
          <w:p>
            <w:pPr/>
            <w:r>
              <w:rPr/>
              <w:t xml:space="preserve">Editora Mackenzie; Ediciones Universidad Salamanca. </w:t>
            </w:r>
            <w:r>
              <w:rPr>
                <w:i w:val="1"/>
                <w:iCs w:val="1"/>
              </w:rPr>
              <w:t xml:space="preserve">Relectura de Lygia Fagundes Telles</w:t>
            </w:r>
            <w:r>
              <w:rPr/>
              <w:t xml:space="preserve">, pp.145-160,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hal-01491442v1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91442v1" TargetMode="External"/><Relationship Id="rId8" Type="http://schemas.openxmlformats.org/officeDocument/2006/relationships/hyperlink" Target="https://hal.science/search/index/?q=*&amp;authFullName_s=Ana Carolina Coutinho-Maussi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Carolina Coutinho-Maussion</dc:title>
  <dc:description>CV</dc:description>
  <dc:subject/>
  <cp:keywords/>
  <cp:category/>
  <cp:lastModifiedBy/>
  <dcterms:created xsi:type="dcterms:W3CDTF">2026-03-17T19:50:46+01:00</dcterms:created>
  <dcterms:modified xsi:type="dcterms:W3CDTF">2026-03-17T19:50:46+01:00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