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Angélique VUILMET </w:t>
      </w:r>
      <w:r>
        <w:rPr>
          <w:color w:val="641e6e"/>
        </w:rPr>
        <w:t xml:space="preserve">Maître de Conférences, LEST-CNRS, Aix 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Aix-Marseille Université et membre du Laboratoire d’Économie et de Sociologie du Travail (LEST – CNRS), mes travaux de recherche portent sur la gestion des ressources humaines, avec un accent particulier sur les inégalités professionnelles entre les femmes et les hommes, ainsi que sur les enjeux de diversité, d’équité et d’inclusion (DEI).J’aborde ces questions en mobilisant des cadres théoriques et méthodologiques issus de la psychologie sociale, notamment la théorie des représentations sociales de Serge Moscovici (1961) et son approche structuraliste développée par Jean-Claude Abric (1976).Mes recherches s’intéressent aux carrières des femmes cadres, à l’équilibre des temps de vie, à l’innovation managériale et aux outils de gestion, des thématiques plus que jamais d’actualité.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Great Place to Work, Also for Senior Women: The Label Impact on Their Perception of Inclusion and Fairness</w:t>
              </w:r>
            </w:hyperlink>
          </w:p>
          <w:p>
            <w:pPr/>
            <w:hyperlink r:id="rId9" w:history="1">
              <w:r>
                <w:rPr>
                  <w:color w:val="#410a8c"/>
                  <w:u w:val="single"/>
                </w:rPr>
                <w:t xml:space="preserve">Thibault Perrin</w:t>
              </w:r>
            </w:hyperlink>
            <w:r>
              <w:rPr/>
              <w:t xml:space="preserve">,</w:t>
            </w:r>
            <w:hyperlink r:id="rId10" w:history="1">
              <w:r>
                <w:rPr>
                  <w:color w:val="#410a8c"/>
                  <w:u w:val="single"/>
                </w:rPr>
                <w:t xml:space="preserve">Angelique Vuilmet</w:t>
              </w:r>
            </w:hyperlink>
          </w:p>
          <w:p>
            <w:pPr/>
            <w:r>
              <w:rPr>
                <w:i w:val="1"/>
                <w:iCs w:val="1"/>
              </w:rPr>
              <w:t xml:space="preserve">6th Fairness at Work Conference</w:t>
            </w:r>
            <w:r>
              <w:rPr/>
              <w:t xml:space="preserve">, Jan 2025, Manchester (UK), United Kingdom</w:t>
            </w:r>
          </w:p>
          <w:p>
            <w:pPr/>
            <w:r>
              <w:rPr/>
              <w:t xml:space="preserve">Communication dans un congrès</w:t>
            </w:r>
          </w:p>
          <w:p>
            <w:pPr/>
            <w:hyperlink r:id="rId8" w:history="1">
              <w:r>
                <w:rPr>
                  <w:color w:val="#410a8c"/>
                  <w:u w:val="single"/>
                </w:rPr>
                <w:t xml:space="preserve">hal-04969337v1</w:t>
              </w:r>
            </w:hyperlink>
          </w:p>
        </w:tc>
      </w:tr>
      <w:tr>
        <w:trPr/>
        <w:tc>
          <w:tcPr>
            <w:noWrap/>
          </w:tcPr>
          <w:p>
            <w:pPr>
              <w:spacing w:after="200"/>
            </w:pPr>
            <w:hyperlink r:id="rId11" w:history="1">
              <w:r>
                <w:rPr>
                  <w:color w:val="1e198e"/>
                  <w:b w:val="1"/>
                  <w:bCs w:val="1"/>
                  <w:u w:val="single"/>
                </w:rPr>
                <w:t xml:space="preserve">Le meilleur employeur pour les femmes seniors : effet démographique d'un label de marque employeur sur la perception d'inclusion et d'équité.</w:t>
              </w:r>
            </w:hyperlink>
          </w:p>
          <w:p>
            <w:pPr/>
            <w:hyperlink r:id="rId9" w:history="1">
              <w:r>
                <w:rPr>
                  <w:color w:val="#410a8c"/>
                  <w:u w:val="single"/>
                </w:rPr>
                <w:t xml:space="preserve">Thibault Perrin</w:t>
              </w:r>
            </w:hyperlink>
            <w:r>
              <w:rPr/>
              <w:t xml:space="preserve">,</w:t>
            </w:r>
            <w:hyperlink r:id="rId10" w:history="1">
              <w:r>
                <w:rPr>
                  <w:color w:val="#410a8c"/>
                  <w:u w:val="single"/>
                </w:rPr>
                <w:t xml:space="preserve">Angelique Vuilmet</w:t>
              </w:r>
            </w:hyperlink>
          </w:p>
          <w:p>
            <w:pPr/>
            <w:r>
              <w:rPr>
                <w:i w:val="1"/>
                <w:iCs w:val="1"/>
              </w:rPr>
              <w:t xml:space="preserve">35ème Congrès de l’Association Francophone de Gestion des Ressources Humaines (AGRH)</w:t>
            </w:r>
            <w:r>
              <w:rPr/>
              <w:t xml:space="preserve">, Oct 2024, Barcelona, Espagne</w:t>
            </w:r>
          </w:p>
          <w:p>
            <w:pPr/>
            <w:r>
              <w:rPr/>
              <w:t xml:space="preserve">Communication dans un congrès</w:t>
            </w:r>
          </w:p>
          <w:p>
            <w:pPr/>
            <w:hyperlink r:id="rId11" w:history="1">
              <w:r>
                <w:rPr>
                  <w:color w:val="#410a8c"/>
                  <w:u w:val="single"/>
                </w:rPr>
                <w:t xml:space="preserve">hal-04969326v1</w:t>
              </w:r>
            </w:hyperlink>
          </w:p>
        </w:tc>
      </w:tr>
      <w:tr>
        <w:trPr/>
        <w:tc>
          <w:tcPr>
            <w:noWrap/>
          </w:tcPr>
          <w:p>
            <w:pPr>
              <w:spacing w:after="200"/>
            </w:pPr>
            <w:hyperlink r:id="rId12" w:history="1">
              <w:r>
                <w:rPr>
                  <w:color w:val="1e198e"/>
                  <w:b w:val="1"/>
                  <w:bCs w:val="1"/>
                  <w:u w:val="single"/>
                </w:rPr>
                <w:t xml:space="preserve">« Égalité professionnelle : quelle efficacité des mesures volontaristes ? Analyse longitudinale de la démarche égalité d’un cas exemplaire »</w:t>
              </w:r>
            </w:hyperlink>
          </w:p>
          <w:p>
            <w:pPr/>
            <w:hyperlink r:id="rId13" w:history="1">
              <w:r>
                <w:rPr>
                  <w:color w:val="#410a8c"/>
                  <w:u w:val="single"/>
                </w:rPr>
                <w:t xml:space="preserve">Angélique Vuilmet</w:t>
              </w:r>
            </w:hyperlink>
          </w:p>
          <w:p>
            <w:pPr/>
            <w:r>
              <w:rPr>
                <w:i w:val="1"/>
                <w:iCs w:val="1"/>
              </w:rPr>
              <w:t xml:space="preserve">AGRH</w:t>
            </w:r>
            <w:r>
              <w:rPr/>
              <w:t xml:space="preserve">, Oct 2021, PARIS, France</w:t>
            </w:r>
          </w:p>
          <w:p>
            <w:pPr/>
            <w:r>
              <w:rPr/>
              <w:t xml:space="preserve">Communication dans un congrès</w:t>
            </w:r>
          </w:p>
          <w:p>
            <w:pPr/>
            <w:hyperlink r:id="rId12" w:history="1">
              <w:r>
                <w:rPr>
                  <w:color w:val="#410a8c"/>
                  <w:u w:val="single"/>
                </w:rPr>
                <w:t xml:space="preserve">hal-03418358v1</w:t>
              </w:r>
            </w:hyperlink>
          </w:p>
        </w:tc>
      </w:tr>
      <w:tr>
        <w:trPr/>
        <w:tc>
          <w:tcPr>
            <w:noWrap/>
          </w:tcPr>
          <w:p>
            <w:pPr>
              <w:spacing w:after="200"/>
            </w:pPr>
            <w:hyperlink r:id="rId14" w:history="1">
              <w:r>
                <w:rPr>
                  <w:color w:val="1e198e"/>
                  <w:b w:val="1"/>
                  <w:bCs w:val="1"/>
                  <w:u w:val="single"/>
                </w:rPr>
                <w:t xml:space="preserve">Lutter contre les résistances limitant l’appropriation des outils de l’égalité professionnelle : l’apport de la théorie du noyau central d’Abric (1976)&amp;quot;.</w:t>
              </w:r>
            </w:hyperlink>
          </w:p>
          <w:p>
            <w:pPr/>
            <w:hyperlink r:id="rId13" w:history="1">
              <w:r>
                <w:rPr>
                  <w:color w:val="#410a8c"/>
                  <w:u w:val="single"/>
                </w:rPr>
                <w:t xml:space="preserve">Angélique Vuilmet</w:t>
              </w:r>
            </w:hyperlink>
            <w:r>
              <w:rPr/>
              <w:t xml:space="preserve">,</w:t>
            </w:r>
            <w:hyperlink r:id="rId15" w:history="1">
              <w:r>
                <w:rPr>
                  <w:color w:val="#410a8c"/>
                  <w:u w:val="single"/>
                </w:rPr>
                <w:t xml:space="preserve">Zilacene Dekli</w:t>
              </w:r>
            </w:hyperlink>
          </w:p>
          <w:p>
            <w:pPr/>
            <w:r>
              <w:rPr>
                <w:i w:val="1"/>
                <w:iCs w:val="1"/>
              </w:rPr>
              <w:t xml:space="preserve">AGRH</w:t>
            </w:r>
            <w:r>
              <w:rPr/>
              <w:t xml:space="preserve">, Mar 2021, TOURS, France</w:t>
            </w:r>
          </w:p>
          <w:p>
            <w:pPr/>
            <w:r>
              <w:rPr/>
              <w:t xml:space="preserve">Communication dans un congrès</w:t>
            </w:r>
          </w:p>
          <w:p>
            <w:pPr/>
            <w:hyperlink r:id="rId14" w:history="1">
              <w:r>
                <w:rPr>
                  <w:color w:val="#410a8c"/>
                  <w:u w:val="single"/>
                </w:rPr>
                <w:t xml:space="preserve">hal-03418360v1</w:t>
              </w:r>
            </w:hyperlink>
          </w:p>
        </w:tc>
      </w:tr>
      <w:tr>
        <w:trPr/>
        <w:tc>
          <w:tcPr>
            <w:noWrap/>
          </w:tcPr>
          <w:p>
            <w:pPr>
              <w:spacing w:after="200"/>
            </w:pPr>
            <w:hyperlink r:id="rId16" w:history="1">
              <w:r>
                <w:rPr>
                  <w:color w:val="1e198e"/>
                  <w:b w:val="1"/>
                  <w:bCs w:val="1"/>
                  <w:u w:val="single"/>
                </w:rPr>
                <w:t xml:space="preserve">« Quand la GRH vient au secours de l’égalité professionnelle : plaidoyer pour l’utilisation de la théorie du noyau central d’Abric (1976) en amont de la conception des dispositifs organisationnels visant l’évolution des représentations sociales.»</w:t>
              </w:r>
            </w:hyperlink>
          </w:p>
          <w:p>
            <w:pPr/>
            <w:hyperlink r:id="rId13" w:history="1">
              <w:r>
                <w:rPr>
                  <w:color w:val="#410a8c"/>
                  <w:u w:val="single"/>
                </w:rPr>
                <w:t xml:space="preserve">Angélique Vuilmet</w:t>
              </w:r>
            </w:hyperlink>
            <w:r>
              <w:rPr/>
              <w:t xml:space="preserve">,</w:t>
            </w:r>
            <w:hyperlink r:id="rId17" w:history="1">
              <w:r>
                <w:rPr>
                  <w:color w:val="#410a8c"/>
                  <w:u w:val="single"/>
                </w:rPr>
                <w:t xml:space="preserve">Christophe Baret</w:t>
              </w:r>
            </w:hyperlink>
          </w:p>
          <w:p>
            <w:pPr/>
            <w:r>
              <w:rPr>
                <w:i w:val="1"/>
                <w:iCs w:val="1"/>
              </w:rPr>
              <w:t xml:space="preserve">AGRH</w:t>
            </w:r>
            <w:r>
              <w:rPr/>
              <w:t xml:space="preserve">, Nov 2019, BORDEAUX, France</w:t>
            </w:r>
          </w:p>
          <w:p>
            <w:pPr/>
            <w:r>
              <w:rPr/>
              <w:t xml:space="preserve">Communication dans un congrès</w:t>
            </w:r>
          </w:p>
          <w:p>
            <w:pPr/>
            <w:hyperlink r:id="rId16" w:history="1">
              <w:r>
                <w:rPr>
                  <w:color w:val="#410a8c"/>
                  <w:u w:val="single"/>
                </w:rPr>
                <w:t xml:space="preserve">hal-03418362v1</w:t>
              </w:r>
            </w:hyperlink>
          </w:p>
        </w:tc>
      </w:tr>
      <w:tr>
        <w:trPr/>
        <w:tc>
          <w:tcPr>
            <w:noWrap/>
          </w:tcPr>
          <w:p>
            <w:pPr>
              <w:spacing w:after="200"/>
            </w:pPr>
            <w:hyperlink r:id="rId18" w:history="1">
              <w:r>
                <w:rPr>
                  <w:color w:val="1e198e"/>
                  <w:b w:val="1"/>
                  <w:bCs w:val="1"/>
                  <w:u w:val="single"/>
                </w:rPr>
                <w:t xml:space="preserve">Quand la GRH vient pour secours de l’égalité professionnelle : plaidoyer pour l’utilisation de la théorie du noyau central d’Abric (1976) en amont de la conception des dispositifs organisationnels visant l’évolution des représentations sociales</w:t>
              </w:r>
            </w:hyperlink>
          </w:p>
          <w:p>
            <w:pPr/>
            <w:hyperlink r:id="rId17" w:history="1">
              <w:r>
                <w:rPr>
                  <w:color w:val="#410a8c"/>
                  <w:u w:val="single"/>
                </w:rPr>
                <w:t xml:space="preserve">Christophe Baret</w:t>
              </w:r>
            </w:hyperlink>
            <w:r>
              <w:rPr/>
              <w:t xml:space="preserve">,</w:t>
            </w:r>
            <w:hyperlink r:id="rId10" w:history="1">
              <w:r>
                <w:rPr>
                  <w:color w:val="#410a8c"/>
                  <w:u w:val="single"/>
                </w:rPr>
                <w:t xml:space="preserve">Angelique Vuilmet</w:t>
              </w:r>
            </w:hyperlink>
          </w:p>
          <w:p>
            <w:pPr/>
            <w:r>
              <w:rPr>
                <w:i w:val="1"/>
                <w:iCs w:val="1"/>
              </w:rPr>
              <w:t xml:space="preserve">30ème congrès de l'AGRH (Association francophone de gestion des ressources humaines)</w:t>
            </w:r>
            <w:r>
              <w:rPr/>
              <w:t xml:space="preserve">, IAE de Bordeaux, Nov 2019, bordeaux, France</w:t>
            </w:r>
          </w:p>
          <w:p>
            <w:pPr/>
            <w:r>
              <w:rPr/>
              <w:t xml:space="preserve">Communication dans un congrès</w:t>
            </w:r>
          </w:p>
          <w:p>
            <w:pPr/>
            <w:hyperlink r:id="rId18" w:history="1">
              <w:r>
                <w:rPr>
                  <w:color w:val="#410a8c"/>
                  <w:u w:val="single"/>
                </w:rPr>
                <w:t xml:space="preserve">hal-02482727v1</w:t>
              </w:r>
            </w:hyperlink>
          </w:p>
        </w:tc>
      </w:tr>
      <w:tr>
        <w:trPr/>
        <w:tc>
          <w:tcPr>
            <w:noWrap/>
          </w:tcPr>
          <w:p>
            <w:pPr>
              <w:spacing w:after="200"/>
            </w:pPr>
            <w:hyperlink r:id="rId19" w:history="1">
              <w:r>
                <w:rPr>
                  <w:color w:val="1e198e"/>
                  <w:b w:val="1"/>
                  <w:bCs w:val="1"/>
                  <w:u w:val="single"/>
                </w:rPr>
                <w:t xml:space="preserve">« Quelles pratiques de GRH pour colmater le tuyau percé ? Une analyse de l’évaporation des femmes à mesure de l’ascension hiérarchique à partir d’une étude de cas exemplaire. »</w:t>
              </w:r>
            </w:hyperlink>
          </w:p>
          <w:p>
            <w:pPr/>
            <w:hyperlink r:id="rId13" w:history="1">
              <w:r>
                <w:rPr>
                  <w:color w:val="#410a8c"/>
                  <w:u w:val="single"/>
                </w:rPr>
                <w:t xml:space="preserve">Angélique Vuilmet</w:t>
              </w:r>
            </w:hyperlink>
            <w:r>
              <w:rPr/>
              <w:t xml:space="preserve">,</w:t>
            </w:r>
            <w:hyperlink r:id="rId17" w:history="1">
              <w:r>
                <w:rPr>
                  <w:color w:val="#410a8c"/>
                  <w:u w:val="single"/>
                </w:rPr>
                <w:t xml:space="preserve">Christophe Baret</w:t>
              </w:r>
            </w:hyperlink>
          </w:p>
          <w:p>
            <w:pPr/>
            <w:r>
              <w:rPr>
                <w:i w:val="1"/>
                <w:iCs w:val="1"/>
              </w:rPr>
              <w:t xml:space="preserve">AGRH</w:t>
            </w:r>
            <w:r>
              <w:rPr/>
              <w:t xml:space="preserve">, Oct 2018, LYON, France</w:t>
            </w:r>
          </w:p>
          <w:p>
            <w:pPr/>
            <w:r>
              <w:rPr/>
              <w:t xml:space="preserve">Communication dans un congrès</w:t>
            </w:r>
          </w:p>
          <w:p>
            <w:pPr/>
            <w:hyperlink r:id="rId19" w:history="1">
              <w:r>
                <w:rPr>
                  <w:color w:val="#410a8c"/>
                  <w:u w:val="single"/>
                </w:rPr>
                <w:t xml:space="preserve">hal-03418363v1</w:t>
              </w:r>
            </w:hyperlink>
          </w:p>
        </w:tc>
      </w:tr>
      <w:tr>
        <w:trPr/>
        <w:tc>
          <w:tcPr>
            <w:noWrap/>
          </w:tcPr>
          <w:p>
            <w:pPr>
              <w:spacing w:after="200"/>
            </w:pPr>
            <w:hyperlink r:id="rId20" w:history="1">
              <w:r>
                <w:rPr>
                  <w:color w:val="1e198e"/>
                  <w:b w:val="1"/>
                  <w:bCs w:val="1"/>
                  <w:u w:val="single"/>
                </w:rPr>
                <w:t xml:space="preserve">QUELLES PRATIQUES DE GRH POUR COLMATER LE TUYAU PERCE ? UNE ANALYSE DE L'EVAPORATION DES FEMMES A MESURE DE L'ASCENSION HIERARCHIQUE A PARTIR D'UNE ETUDE DE CAS EXEMPLAIRE</w:t>
              </w:r>
            </w:hyperlink>
          </w:p>
          <w:p>
            <w:pPr/>
            <w:hyperlink r:id="rId17" w:history="1">
              <w:r>
                <w:rPr>
                  <w:color w:val="#410a8c"/>
                  <w:u w:val="single"/>
                </w:rPr>
                <w:t xml:space="preserve">Christophe Baret</w:t>
              </w:r>
            </w:hyperlink>
            <w:r>
              <w:rPr/>
              <w:t xml:space="preserve">,</w:t>
            </w:r>
            <w:hyperlink r:id="rId21" w:history="1">
              <w:r>
                <w:rPr>
                  <w:color w:val="#410a8c"/>
                  <w:u w:val="single"/>
                </w:rPr>
                <w:t xml:space="preserve">Vuilmet Angélique</w:t>
              </w:r>
            </w:hyperlink>
          </w:p>
          <w:p>
            <w:pPr/>
            <w:r>
              <w:rPr>
                <w:i w:val="1"/>
                <w:iCs w:val="1"/>
              </w:rPr>
              <w:t xml:space="preserve">29ème congrès de l'AGRH (Association francophone de gestion des ressources humaines)</w:t>
            </w:r>
            <w:r>
              <w:rPr/>
              <w:t xml:space="preserve">, Université Lyon 3, Oct 2018, Lyon, France</w:t>
            </w:r>
          </w:p>
          <w:p>
            <w:pPr/>
            <w:r>
              <w:rPr/>
              <w:t xml:space="preserve">Communication dans un congrès</w:t>
            </w:r>
          </w:p>
          <w:p>
            <w:pPr/>
            <w:hyperlink r:id="rId20" w:history="1">
              <w:r>
                <w:rPr>
                  <w:color w:val="#410a8c"/>
                  <w:u w:val="single"/>
                </w:rPr>
                <w:t xml:space="preserve">hal-02482691v1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Great Place To Work. How Best Workplaces Affect How Senior Women Perceive Inclusion and Fairness</w:t>
              </w:r>
            </w:hyperlink>
          </w:p>
          <w:p>
            <w:pPr/>
            <w:hyperlink r:id="rId9" w:history="1">
              <w:r>
                <w:rPr>
                  <w:color w:val="#410a8c"/>
                  <w:u w:val="single"/>
                </w:rPr>
                <w:t xml:space="preserve">Thibault Perrin</w:t>
              </w:r>
            </w:hyperlink>
            <w:r>
              <w:rPr/>
              <w:t xml:space="preserve">,</w:t>
            </w:r>
            <w:hyperlink r:id="rId13" w:history="1">
              <w:r>
                <w:rPr>
                  <w:color w:val="#410a8c"/>
                  <w:u w:val="single"/>
                </w:rPr>
                <w:t xml:space="preserve">Angélique Vuilmet</w:t>
              </w:r>
            </w:hyperlink>
          </w:p>
          <w:p>
            <w:pPr/>
            <w:r>
              <w:rPr>
                <w:i w:val="1"/>
                <w:iCs w:val="1"/>
              </w:rPr>
              <w:t xml:space="preserve">Relations Industrielles / Industrial Relations</w:t>
            </w:r>
            <w:r>
              <w:rPr/>
              <w:t xml:space="preserve">, 2025, 80 (1), 20 p. </w:t>
            </w:r>
            <w:hyperlink r:id="rId23" w:history="1">
              <w:r>
                <w:rPr>
                  <w:color w:val="#410a8c"/>
                  <w:u w:val="single"/>
                </w:rPr>
                <w:t xml:space="preserve">⟨10.7202/1122100ar⟩</w:t>
              </w:r>
            </w:hyperlink>
          </w:p>
          <w:p>
            <w:pPr/>
            <w:r>
              <w:rPr/>
              <w:t xml:space="preserve">Article dans une revue</w:t>
            </w:r>
          </w:p>
          <w:p>
            <w:pPr/>
            <w:hyperlink r:id="rId22" w:history="1">
              <w:r>
                <w:rPr>
                  <w:color w:val="#410a8c"/>
                  <w:u w:val="single"/>
                </w:rPr>
                <w:t xml:space="preserve">hal-05462371v1</w:t>
              </w:r>
            </w:hyperlink>
          </w:p>
        </w:tc>
      </w:tr>
      <w:tr>
        <w:trPr/>
        <w:tc>
          <w:tcPr>
            <w:noWrap/>
          </w:tcPr>
          <w:p>
            <w:pPr>
              <w:spacing w:after="200"/>
            </w:pPr>
            <w:hyperlink r:id="rId24" w:history="1">
              <w:r>
                <w:rPr>
                  <w:color w:val="1e198e"/>
                  <w:b w:val="1"/>
                  <w:bCs w:val="1"/>
                  <w:u w:val="single"/>
                </w:rPr>
                <w:t xml:space="preserve">« Égalité professionnelle : quelle efficacité des mesures volontaristes ? Analyse longitudinale de la démarche égalité d’un cas exemplaire »</w:t>
              </w:r>
            </w:hyperlink>
          </w:p>
          <w:p>
            <w:pPr/>
            <w:hyperlink r:id="rId13" w:history="1">
              <w:r>
                <w:rPr>
                  <w:color w:val="#410a8c"/>
                  <w:u w:val="single"/>
                </w:rPr>
                <w:t xml:space="preserve">Angélique Vuilmet</w:t>
              </w:r>
            </w:hyperlink>
          </w:p>
          <w:p>
            <w:pPr/>
            <w:r>
              <w:rPr>
                <w:i w:val="1"/>
                <w:iCs w:val="1"/>
              </w:rPr>
              <w:t xml:space="preserve">@GRH</w:t>
            </w:r>
            <w:r>
              <w:rPr/>
              <w:t xml:space="preserve">, 2021, 40, pp.89-114. </w:t>
            </w:r>
            <w:hyperlink r:id="rId25" w:history="1">
              <w:r>
                <w:rPr>
                  <w:color w:val="#410a8c"/>
                  <w:u w:val="single"/>
                </w:rPr>
                <w:t xml:space="preserve">⟨10.3917/grh.213.0089⟩</w:t>
              </w:r>
            </w:hyperlink>
          </w:p>
          <w:p>
            <w:pPr/>
            <w:r>
              <w:rPr/>
              <w:t xml:space="preserve">Article dans une revue</w:t>
            </w:r>
          </w:p>
          <w:p>
            <w:pPr/>
            <w:hyperlink r:id="rId24" w:history="1">
              <w:r>
                <w:rPr>
                  <w:color w:val="#410a8c"/>
                  <w:u w:val="single"/>
                </w:rPr>
                <w:t xml:space="preserve">hal-03418355v1</w:t>
              </w:r>
            </w:hyperlink>
          </w:p>
        </w:tc>
      </w:tr>
      <w:tr>
        <w:trPr/>
        <w:tc>
          <w:tcPr>
            <w:noWrap/>
          </w:tcPr>
          <w:p>
            <w:pPr>
              <w:spacing w:after="200"/>
            </w:pPr>
            <w:hyperlink r:id="rId26" w:history="1">
              <w:r>
                <w:rPr>
                  <w:color w:val="1e198e"/>
                  <w:b w:val="1"/>
                  <w:bCs w:val="1"/>
                  <w:u w:val="single"/>
                </w:rPr>
                <w:t xml:space="preserve">« Vers la construction d’un instrument de prévention des inégalités de genre : une analyse des représentations sociales dans la filiale d’une multinationale du secteur de l’ingénierie »</w:t>
              </w:r>
            </w:hyperlink>
          </w:p>
          <w:p>
            <w:pPr/>
            <w:hyperlink r:id="rId13" w:history="1">
              <w:r>
                <w:rPr>
                  <w:color w:val="#410a8c"/>
                  <w:u w:val="single"/>
                </w:rPr>
                <w:t xml:space="preserve">Angélique Vuilmet</w:t>
              </w:r>
            </w:hyperlink>
            <w:r>
              <w:rPr/>
              <w:t xml:space="preserve">,</w:t>
            </w:r>
            <w:hyperlink r:id="rId17" w:history="1">
              <w:r>
                <w:rPr>
                  <w:color w:val="#410a8c"/>
                  <w:u w:val="single"/>
                </w:rPr>
                <w:t xml:space="preserve">Christophe Baret</w:t>
              </w:r>
            </w:hyperlink>
          </w:p>
          <w:p>
            <w:pPr/>
            <w:r>
              <w:rPr>
                <w:i w:val="1"/>
                <w:iCs w:val="1"/>
              </w:rPr>
              <w:t xml:space="preserve">RIMHE : Revue Interdisciplinaire Management, Homme(s) &amp; Entreprise</w:t>
            </w:r>
            <w:r>
              <w:rPr/>
              <w:t xml:space="preserve">, 2021, 10 (43), pp.3-26</w:t>
            </w:r>
          </w:p>
          <w:p>
            <w:pPr/>
            <w:r>
              <w:rPr/>
              <w:t xml:space="preserve">Article dans une revue</w:t>
            </w:r>
          </w:p>
          <w:p>
            <w:pPr/>
            <w:hyperlink r:id="rId26" w:history="1">
              <w:r>
                <w:rPr>
                  <w:color w:val="#410a8c"/>
                  <w:u w:val="single"/>
                </w:rPr>
                <w:t xml:space="preserve">hal-03418353v1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Mettre en place un accord de performance collective qui intègre la RSE</w:t>
              </w:r>
            </w:hyperlink>
          </w:p>
          <w:p>
            <w:pPr/>
            <w:hyperlink r:id="rId28" w:history="1">
              <w:r>
                <w:rPr>
                  <w:color w:val="#410a8c"/>
                  <w:u w:val="single"/>
                </w:rPr>
                <w:t xml:space="preserve">Emma Cartier</w:t>
              </w:r>
            </w:hyperlink>
            <w:r>
              <w:rPr/>
              <w:t xml:space="preserve">,</w:t>
            </w:r>
            <w:hyperlink r:id="rId29" w:history="1">
              <w:r>
                <w:rPr>
                  <w:color w:val="#410a8c"/>
                  <w:u w:val="single"/>
                </w:rPr>
                <w:t xml:space="preserve">Juliette Lagrange-Confuron</w:t>
              </w:r>
            </w:hyperlink>
            <w:r>
              <w:rPr/>
              <w:t xml:space="preserve">,</w:t>
            </w:r>
            <w:hyperlink r:id="rId30" w:history="1">
              <w:r>
                <w:rPr>
                  <w:color w:val="#410a8c"/>
                  <w:u w:val="single"/>
                </w:rPr>
                <w:t xml:space="preserve">Clarisse Moisson</w:t>
              </w:r>
            </w:hyperlink>
            <w:r>
              <w:rPr/>
              <w:t xml:space="preserve">,</w:t>
            </w:r>
            <w:hyperlink r:id="rId31" w:history="1">
              <w:r>
                <w:rPr>
                  <w:color w:val="#410a8c"/>
                  <w:u w:val="single"/>
                </w:rPr>
                <w:t xml:space="preserve">Antoine Paret</w:t>
              </w:r>
            </w:hyperlink>
            <w:r>
              <w:rPr/>
              <w:t xml:space="preserve">,</w:t>
            </w:r>
            <w:hyperlink r:id="rId32" w:history="1">
              <w:r>
                <w:rPr>
                  <w:color w:val="#410a8c"/>
                  <w:u w:val="single"/>
                </w:rPr>
                <w:t xml:space="preserve">Maeva Raffin</w:t>
              </w:r>
            </w:hyperlink>
            <w:r>
              <w:rPr/>
              <w:t xml:space="preserve">et al.</w:t>
            </w:r>
          </w:p>
          <w:p>
            <w:pPr/>
            <w:r>
              <w:rPr>
                <w:i w:val="1"/>
                <w:iCs w:val="1"/>
              </w:rPr>
              <w:t xml:space="preserve">Innovations RH et transformations sociales : 15 retours d'expérience et pratiques inspirantes</w:t>
            </w:r>
            <w:r>
              <w:rPr/>
              <w:t xml:space="preserve">, Dunod, pp.133-143, 2024, 9-78-2-10-08606-3-0</w:t>
            </w:r>
          </w:p>
          <w:p>
            <w:pPr/>
            <w:r>
              <w:rPr/>
              <w:t xml:space="preserve">Chapitre d'ouvrage</w:t>
            </w:r>
          </w:p>
          <w:p>
            <w:pPr/>
            <w:hyperlink r:id="rId27" w:history="1">
              <w:r>
                <w:rPr>
                  <w:color w:val="#410a8c"/>
                  <w:u w:val="single"/>
                </w:rPr>
                <w:t xml:space="preserve">hal-05045811v1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Quels sont les apports de l'analyse du contenu et de la structure des représentations sociales pour améliorer les pratiques de GRH visant leur modification et ainsi la réduction des inégalités professionnelles basées sur le genre ? Une étude de cas exemplaire.</w:t>
              </w:r>
            </w:hyperlink>
          </w:p>
          <w:p>
            <w:pPr/>
            <w:hyperlink r:id="rId13" w:history="1">
              <w:r>
                <w:rPr>
                  <w:color w:val="#410a8c"/>
                  <w:u w:val="single"/>
                </w:rPr>
                <w:t xml:space="preserve">Angélique Vuilmet</w:t>
              </w:r>
            </w:hyperlink>
          </w:p>
          <w:p>
            <w:pPr/>
            <w:r>
              <w:rPr/>
              <w:t xml:space="preserve">Gestion et management. Aix Marseille Université (AMU), 2021.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tel-03507216v1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9337v1" TargetMode="External"/><Relationship Id="rId9" Type="http://schemas.openxmlformats.org/officeDocument/2006/relationships/hyperlink" Target="https://hal.science/search/index/?q=*&amp;authFullName_s=Thibault Perrin" TargetMode="External"/><Relationship Id="rId10" Type="http://schemas.openxmlformats.org/officeDocument/2006/relationships/hyperlink" Target="https://hal.science/search/index/?q=*&amp;authFullName_s=Angelique Vuilmet" TargetMode="External"/><Relationship Id="rId11" Type="http://schemas.openxmlformats.org/officeDocument/2006/relationships/hyperlink" Target="https://hal.science/hal-04969326v1" TargetMode="External"/><Relationship Id="rId12" Type="http://schemas.openxmlformats.org/officeDocument/2006/relationships/hyperlink" Target="https://hal.science/hal-03418358v1" TargetMode="External"/><Relationship Id="rId13" Type="http://schemas.openxmlformats.org/officeDocument/2006/relationships/hyperlink" Target="https://hal.science/search/index/?q=*&amp;authFullName_s=Ang&#233;lique Vuilmet" TargetMode="External"/><Relationship Id="rId14" Type="http://schemas.openxmlformats.org/officeDocument/2006/relationships/hyperlink" Target="https://hal.science/hal-03418360v1" TargetMode="External"/><Relationship Id="rId15" Type="http://schemas.openxmlformats.org/officeDocument/2006/relationships/hyperlink" Target="https://hal.science/search/index/?q=*&amp;authFullName_s=Zilacene Dekli" TargetMode="External"/><Relationship Id="rId16" Type="http://schemas.openxmlformats.org/officeDocument/2006/relationships/hyperlink" Target="https://hal.science/hal-03418362v1" TargetMode="External"/><Relationship Id="rId17" Type="http://schemas.openxmlformats.org/officeDocument/2006/relationships/hyperlink" Target="https://hal.science/search/index/?q=*&amp;authFullName_s=Christophe Baret" TargetMode="External"/><Relationship Id="rId18" Type="http://schemas.openxmlformats.org/officeDocument/2006/relationships/hyperlink" Target="https://hal.science/hal-02482727v1" TargetMode="External"/><Relationship Id="rId19" Type="http://schemas.openxmlformats.org/officeDocument/2006/relationships/hyperlink" Target="https://hal.science/hal-03418363v1" TargetMode="External"/><Relationship Id="rId20" Type="http://schemas.openxmlformats.org/officeDocument/2006/relationships/hyperlink" Target="https://hal.science/hal-02482691v1" TargetMode="External"/><Relationship Id="rId21" Type="http://schemas.openxmlformats.org/officeDocument/2006/relationships/hyperlink" Target="https://hal.science/search/index/?q=*&amp;authFullName_s=Vuilmet Ang&#233;lique" TargetMode="External"/><Relationship Id="rId22" Type="http://schemas.openxmlformats.org/officeDocument/2006/relationships/hyperlink" Target="https://hal.science/hal-05462371v1" TargetMode="External"/><Relationship Id="rId23" Type="http://schemas.openxmlformats.org/officeDocument/2006/relationships/hyperlink" Target="https://dx.doi.org/10.7202/1122100ar" TargetMode="External"/><Relationship Id="rId24" Type="http://schemas.openxmlformats.org/officeDocument/2006/relationships/hyperlink" Target="https://hal.science/hal-03418355v1" TargetMode="External"/><Relationship Id="rId25" Type="http://schemas.openxmlformats.org/officeDocument/2006/relationships/hyperlink" Target="https://dx.doi.org/10.3917/grh.213.0089" TargetMode="External"/><Relationship Id="rId26" Type="http://schemas.openxmlformats.org/officeDocument/2006/relationships/hyperlink" Target="https://hal.science/hal-03418353v1" TargetMode="External"/><Relationship Id="rId27" Type="http://schemas.openxmlformats.org/officeDocument/2006/relationships/hyperlink" Target="https://ube.hal.science/hal-05045811v1" TargetMode="External"/><Relationship Id="rId28" Type="http://schemas.openxmlformats.org/officeDocument/2006/relationships/hyperlink" Target="https://hal.science/search/index/?q=*&amp;authFullName_s=Emma Cartier" TargetMode="External"/><Relationship Id="rId29" Type="http://schemas.openxmlformats.org/officeDocument/2006/relationships/hyperlink" Target="https://hal.science/search/index/?q=*&amp;authFullName_s=Juliette Lagrange-Confuron" TargetMode="External"/><Relationship Id="rId30" Type="http://schemas.openxmlformats.org/officeDocument/2006/relationships/hyperlink" Target="https://hal.science/search/index/?q=*&amp;authFullName_s=Clarisse Moisson" TargetMode="External"/><Relationship Id="rId31" Type="http://schemas.openxmlformats.org/officeDocument/2006/relationships/hyperlink" Target="https://hal.science/search/index/?q=*&amp;authFullName_s=Antoine Paret" TargetMode="External"/><Relationship Id="rId32" Type="http://schemas.openxmlformats.org/officeDocument/2006/relationships/hyperlink" Target="https://hal.science/search/index/?q=*&amp;authFullName_s=Maeva Raffin" TargetMode="External"/><Relationship Id="rId33" Type="http://schemas.openxmlformats.org/officeDocument/2006/relationships/hyperlink" Target="https://hal.science/tel-03507216v1" TargetMode="External"/><Relationship Id="rId34" Type="http://schemas.openxmlformats.org/officeDocument/2006/relationships/hyperlink" Target="https://www.theses.f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VUILMET</dc:title>
  <dc:description>CV</dc:description>
  <dc:subject/>
  <cp:keywords/>
  <cp:category/>
  <cp:lastModifiedBy/>
  <dcterms:created xsi:type="dcterms:W3CDTF">2026-04-07T03:49:11+02:00</dcterms:created>
  <dcterms:modified xsi:type="dcterms:W3CDTF">2026-04-07T03:49:11+02:00</dcterms:modified>
</cp:coreProperties>
</file>

<file path=docProps/custom.xml><?xml version="1.0" encoding="utf-8"?>
<Properties xmlns="http://schemas.openxmlformats.org/officeDocument/2006/custom-properties" xmlns:vt="http://schemas.openxmlformats.org/officeDocument/2006/docPropsVTypes"/>
</file>