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Annabel Quin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L'IA et la fabrique des personnes morales : entre régulation hétéronome et régulation autonome</w:t>
              </w:r>
            </w:hyperlink>
          </w:p>
          <w:p>
            <w:pPr/>
            <w:hyperlink r:id="rId8" w:history="1">
              <w:r>
                <w:rPr>
                  <w:color w:val="#410a8c"/>
                  <w:u w:val="single"/>
                </w:rPr>
                <w:t xml:space="preserve">Annabel Quin</w:t>
              </w:r>
            </w:hyperlink>
          </w:p>
          <w:p>
            <w:pPr/>
            <w:r>
              <w:rPr>
                <w:i w:val="1"/>
                <w:iCs w:val="1"/>
              </w:rPr>
              <w:t xml:space="preserve">Psychanalyse et Management</w:t>
            </w:r>
            <w:r>
              <w:rPr/>
              <w:t xml:space="preserve">, 2020</w:t>
            </w:r>
          </w:p>
          <w:p>
            <w:pPr/>
            <w:r>
              <w:rPr/>
              <w:t xml:space="preserve">Article dans une revue</w:t>
            </w:r>
          </w:p>
          <w:p>
            <w:pPr/>
            <w:hyperlink r:id="rId7" w:history="1">
              <w:r>
                <w:rPr>
                  <w:color w:val="#410a8c"/>
                  <w:u w:val="single"/>
                </w:rPr>
                <w:t xml:space="preserve">hal-02950878v1</w:t>
              </w:r>
            </w:hyperlink>
          </w:p>
        </w:tc>
      </w:tr>
      <w:tr>
        <w:trPr/>
        <w:tc>
          <w:tcPr>
            <w:noWrap/>
          </w:tcPr>
          <w:p>
            <w:pPr>
              <w:spacing w:after="200"/>
            </w:pPr>
            <w:hyperlink r:id="rId9" w:history="1">
              <w:r>
                <w:rPr>
                  <w:color w:val="1e198e"/>
                  <w:b w:val="1"/>
                  <w:bCs w:val="1"/>
                  <w:u w:val="single"/>
                </w:rPr>
                <w:t xml:space="preserve">Transformations du capitalisme et renforcement des droits de contrôle des actionnaires dans les sociétés cotées : l'approche du droit communautaire</w:t>
              </w:r>
            </w:hyperlink>
          </w:p>
          <w:p>
            <w:pPr/>
            <w:hyperlink r:id="rId8" w:history="1">
              <w:r>
                <w:rPr>
                  <w:color w:val="#410a8c"/>
                  <w:u w:val="single"/>
                </w:rPr>
                <w:t xml:space="preserve">Annabel Quin</w:t>
              </w:r>
            </w:hyperlink>
          </w:p>
          <w:p>
            <w:pPr/>
            <w:r>
              <w:rPr>
                <w:i w:val="1"/>
                <w:iCs w:val="1"/>
              </w:rPr>
              <w:t xml:space="preserve">Petites affiches</w:t>
            </w:r>
            <w:r>
              <w:rPr/>
              <w:t xml:space="preserve">, 2007</w:t>
            </w:r>
          </w:p>
          <w:p>
            <w:pPr/>
            <w:r>
              <w:rPr/>
              <w:t xml:space="preserve">Article dans une revue</w:t>
            </w:r>
          </w:p>
          <w:p>
            <w:pPr/>
            <w:hyperlink r:id="rId9" w:history="1">
              <w:r>
                <w:rPr>
                  <w:color w:val="#410a8c"/>
                  <w:u w:val="single"/>
                </w:rPr>
                <w:t xml:space="preserve">hal-02614808v1</w:t>
              </w:r>
            </w:hyperlink>
          </w:p>
        </w:tc>
      </w:tr>
      <w:tr>
        <w:trPr/>
        <w:tc>
          <w:tcPr>
            <w:noWrap/>
          </w:tcPr>
          <w:p>
            <w:pPr>
              <w:spacing w:after="200"/>
            </w:pPr>
            <w:hyperlink r:id="rId10" w:history="1">
              <w:r>
                <w:rPr>
                  <w:color w:val="1e198e"/>
                  <w:b w:val="1"/>
                  <w:bCs w:val="1"/>
                  <w:u w:val="single"/>
                </w:rPr>
                <w:t xml:space="preserve">Convention de portage et droit de rétention sur les actions rétrocédées, note sous Paris, 3ème ch., sect. A, 10 février 2004</w:t>
              </w:r>
            </w:hyperlink>
          </w:p>
          <w:p>
            <w:pPr/>
            <w:hyperlink r:id="rId8" w:history="1">
              <w:r>
                <w:rPr>
                  <w:color w:val="#410a8c"/>
                  <w:u w:val="single"/>
                </w:rPr>
                <w:t xml:space="preserve">Annabel Quin</w:t>
              </w:r>
            </w:hyperlink>
          </w:p>
          <w:p>
            <w:pPr/>
            <w:r>
              <w:rPr>
                <w:i w:val="1"/>
                <w:iCs w:val="1"/>
              </w:rPr>
              <w:t xml:space="preserve">Revue Lamy Droit civil</w:t>
            </w:r>
            <w:r>
              <w:rPr/>
              <w:t xml:space="preserve">, 2005</w:t>
            </w:r>
          </w:p>
          <w:p>
            <w:pPr/>
            <w:r>
              <w:rPr/>
              <w:t xml:space="preserve">Article dans une revue</w:t>
            </w:r>
          </w:p>
          <w:p>
            <w:pPr/>
            <w:hyperlink r:id="rId10" w:history="1">
              <w:r>
                <w:rPr>
                  <w:color w:val="#410a8c"/>
                  <w:u w:val="single"/>
                </w:rPr>
                <w:t xml:space="preserve">hal-02616201v1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licéité des décisions individuelles automatisées</w:t>
              </w:r>
            </w:hyperlink>
          </w:p>
          <w:p>
            <w:pPr/>
            <w:hyperlink r:id="rId8" w:history="1">
              <w:r>
                <w:rPr>
                  <w:color w:val="#410a8c"/>
                  <w:u w:val="single"/>
                </w:rPr>
                <w:t xml:space="preserve">Annabel Quin</w:t>
              </w:r>
            </w:hyperlink>
          </w:p>
          <w:p>
            <w:pPr/>
            <w:r>
              <w:rPr>
                <w:i w:val="1"/>
                <w:iCs w:val="1"/>
              </w:rPr>
              <w:t xml:space="preserve">5èmes Journées Internationales de Recherche sur l'Intelligence Artificielle</w:t>
            </w:r>
            <w:r>
              <w:rPr/>
              <w:t xml:space="preserve">, Excelia Group, Nov 2025, Cachan, France</w:t>
            </w:r>
          </w:p>
          <w:p>
            <w:pPr/>
            <w:r>
              <w:rPr/>
              <w:t xml:space="preserve">Communication dans un congrès</w:t>
            </w:r>
          </w:p>
          <w:p>
            <w:pPr/>
            <w:hyperlink r:id="rId11" w:history="1">
              <w:r>
                <w:rPr>
                  <w:color w:val="#410a8c"/>
                  <w:u w:val="single"/>
                </w:rPr>
                <w:t xml:space="preserve">hal-05596186v1</w:t>
              </w:r>
            </w:hyperlink>
          </w:p>
        </w:tc>
      </w:tr>
      <w:tr>
        <w:trPr/>
        <w:tc>
          <w:tcPr>
            <w:noWrap/>
          </w:tcPr>
          <w:p>
            <w:pPr>
              <w:spacing w:after="200"/>
            </w:pPr>
            <w:hyperlink r:id="rId12" w:history="1">
              <w:r>
                <w:rPr>
                  <w:color w:val="1e198e"/>
                  <w:b w:val="1"/>
                  <w:bCs w:val="1"/>
                  <w:u w:val="single"/>
                </w:rPr>
                <w:t xml:space="preserve">Ensuring Personal Data Compliance by integrating Legal Constraints into Digital Twin Design Methodology</w:t>
              </w:r>
            </w:hyperlink>
          </w:p>
          <w:p>
            <w:pPr/>
            <w:hyperlink r:id="rId13" w:history="1">
              <w:r>
                <w:rPr>
                  <w:color w:val="#410a8c"/>
                  <w:u w:val="single"/>
                </w:rPr>
                <w:t xml:space="preserve">Yann Lennon</w:t>
              </w:r>
            </w:hyperlink>
            <w:r>
              <w:rPr/>
              <w:t xml:space="preserve">,</w:t>
            </w:r>
            <w:hyperlink r:id="rId14" w:history="1">
              <w:r>
                <w:rPr>
                  <w:color w:val="#410a8c"/>
                  <w:u w:val="single"/>
                </w:rPr>
                <w:t xml:space="preserve">Nathalie Julien</w:t>
              </w:r>
            </w:hyperlink>
            <w:r>
              <w:rPr/>
              <w:t xml:space="preserve">,</w:t>
            </w:r>
            <w:hyperlink r:id="rId8" w:history="1">
              <w:r>
                <w:rPr>
                  <w:color w:val="#410a8c"/>
                  <w:u w:val="single"/>
                </w:rPr>
                <w:t xml:space="preserve">Annabel Quin</w:t>
              </w:r>
            </w:hyperlink>
          </w:p>
          <w:p>
            <w:pPr/>
            <w:r>
              <w:rPr>
                <w:i w:val="1"/>
                <w:iCs w:val="1"/>
              </w:rPr>
              <w:t xml:space="preserve">35th European Safety and Reliability &amp; the 33rd Society for Risk Analysis Europe Conference</w:t>
            </w:r>
            <w:r>
              <w:rPr/>
              <w:t xml:space="preserve">, ESREL SRA-E 2025 Organizers, Jun 2025, Stavanger (NOR), France. </w:t>
            </w:r>
            <w:hyperlink r:id="rId15" w:history="1">
              <w:r>
                <w:rPr>
                  <w:color w:val="#410a8c"/>
                  <w:u w:val="single"/>
                </w:rPr>
                <w:t xml:space="preserve">⟨10.3850/978-981-94-3281-3_ESREL-SRA-E2025-P0510-cd⟩</w:t>
              </w:r>
            </w:hyperlink>
          </w:p>
          <w:p>
            <w:pPr/>
            <w:r>
              <w:rPr/>
              <w:t xml:space="preserve">Communication dans un congrès</w:t>
            </w:r>
          </w:p>
          <w:p>
            <w:pPr/>
            <w:hyperlink r:id="rId12" w:history="1">
              <w:r>
                <w:rPr>
                  <w:color w:val="#410a8c"/>
                  <w:u w:val="single"/>
                </w:rPr>
                <w:t xml:space="preserve">hal-05151838v1</w:t>
              </w:r>
            </w:hyperlink>
          </w:p>
        </w:tc>
      </w:tr>
      <w:tr>
        <w:trPr/>
        <w:tc>
          <w:tcPr>
            <w:noWrap/>
          </w:tcPr>
          <w:p>
            <w:pPr>
              <w:spacing w:after="200"/>
            </w:pPr>
            <w:hyperlink r:id="rId16" w:history="1">
              <w:r>
                <w:rPr>
                  <w:color w:val="1e198e"/>
                  <w:b w:val="1"/>
                  <w:bCs w:val="1"/>
                  <w:u w:val="single"/>
                </w:rPr>
                <w:t xml:space="preserve">La cybersécurité des acteurs économiques : l'apport de la directive NIS 2</w:t>
              </w:r>
            </w:hyperlink>
          </w:p>
          <w:p>
            <w:pPr/>
            <w:hyperlink r:id="rId8" w:history="1">
              <w:r>
                <w:rPr>
                  <w:color w:val="#410a8c"/>
                  <w:u w:val="single"/>
                </w:rPr>
                <w:t xml:space="preserve">Annabel Quin</w:t>
              </w:r>
            </w:hyperlink>
          </w:p>
          <w:p>
            <w:pPr/>
            <w:r>
              <w:rPr>
                <w:i w:val="1"/>
                <w:iCs w:val="1"/>
              </w:rPr>
              <w:t xml:space="preserve">La protection des acteurs économiques à l'ère du numérique</w:t>
            </w:r>
            <w:r>
              <w:rPr/>
              <w:t xml:space="preserve">, sous la dir. de Jennifer BOUFFARD, Nov 2024, Vannes (Bretagne, France), France. p. 30-33</w:t>
            </w:r>
          </w:p>
          <w:p>
            <w:pPr/>
            <w:r>
              <w:rPr/>
              <w:t xml:space="preserve">Communication dans un congrès</w:t>
            </w:r>
          </w:p>
          <w:p>
            <w:pPr/>
            <w:hyperlink r:id="rId16" w:history="1">
              <w:r>
                <w:rPr>
                  <w:color w:val="#410a8c"/>
                  <w:u w:val="single"/>
                </w:rPr>
                <w:t xml:space="preserve">hal-04894631v1</w:t>
              </w:r>
            </w:hyperlink>
          </w:p>
        </w:tc>
      </w:tr>
      <w:tr>
        <w:trPr/>
        <w:tc>
          <w:tcPr>
            <w:noWrap/>
          </w:tcPr>
          <w:p>
            <w:pPr>
              <w:spacing w:after="200"/>
            </w:pPr>
            <w:hyperlink r:id="rId17" w:history="1">
              <w:r>
                <w:rPr>
                  <w:color w:val="1e198e"/>
                  <w:b w:val="1"/>
                  <w:bCs w:val="1"/>
                  <w:u w:val="single"/>
                </w:rPr>
                <w:t xml:space="preserve">Le travail de la culture et le partage de données à caractère personnel : la mise en place d'un écosystème instituant</w:t>
              </w:r>
            </w:hyperlink>
          </w:p>
          <w:p>
            <w:pPr/>
            <w:hyperlink r:id="rId8" w:history="1">
              <w:r>
                <w:rPr>
                  <w:color w:val="#410a8c"/>
                  <w:u w:val="single"/>
                </w:rPr>
                <w:t xml:space="preserve">Annabel Quin</w:t>
              </w:r>
            </w:hyperlink>
          </w:p>
          <w:p>
            <w:pPr/>
            <w:r>
              <w:rPr>
                <w:i w:val="1"/>
                <w:iCs w:val="1"/>
              </w:rPr>
              <w:t xml:space="preserve">Et maintenant ? Quelles propositions du management ? Quels questionnements épistémiques ?</w:t>
            </w:r>
            <w:r>
              <w:rPr/>
              <w:t xml:space="preserve">, Jun 2021, Paris, France</w:t>
            </w:r>
          </w:p>
          <w:p>
            <w:pPr/>
            <w:r>
              <w:rPr/>
              <w:t xml:space="preserve">Communication dans un congrès</w:t>
            </w:r>
          </w:p>
          <w:p>
            <w:pPr/>
            <w:hyperlink r:id="rId17" w:history="1">
              <w:r>
                <w:rPr>
                  <w:color w:val="#410a8c"/>
                  <w:u w:val="single"/>
                </w:rPr>
                <w:t xml:space="preserve">halshs-03513304v1</w:t>
              </w:r>
            </w:hyperlink>
          </w:p>
        </w:tc>
      </w:tr>
      <w:tr>
        <w:trPr/>
        <w:tc>
          <w:tcPr>
            <w:noWrap/>
          </w:tcPr>
          <w:p>
            <w:pPr>
              <w:spacing w:after="200"/>
            </w:pPr>
            <w:hyperlink r:id="rId18" w:history="1">
              <w:r>
                <w:rPr>
                  <w:color w:val="1e198e"/>
                  <w:b w:val="1"/>
                  <w:bCs w:val="1"/>
                  <w:u w:val="single"/>
                </w:rPr>
                <w:t xml:space="preserve">Le partage de données à caractère personnel : de la gestion des risques juridiques au management juridique des données</w:t>
              </w:r>
            </w:hyperlink>
          </w:p>
          <w:p>
            <w:pPr/>
            <w:hyperlink r:id="rId8" w:history="1">
              <w:r>
                <w:rPr>
                  <w:color w:val="#410a8c"/>
                  <w:u w:val="single"/>
                </w:rPr>
                <w:t xml:space="preserve">Annabel Quin</w:t>
              </w:r>
            </w:hyperlink>
          </w:p>
          <w:p>
            <w:pPr/>
            <w:r>
              <w:rPr>
                <w:i w:val="1"/>
                <w:iCs w:val="1"/>
              </w:rPr>
              <w:t xml:space="preserve">Séminaire Responsabilité numérique et protection des données personnelles</w:t>
            </w:r>
            <w:r>
              <w:rPr/>
              <w:t xml:space="preserve">, Oct 2021, en visioconférence, France</w:t>
            </w:r>
          </w:p>
          <w:p>
            <w:pPr/>
            <w:r>
              <w:rPr/>
              <w:t xml:space="preserve">Communication dans un congrès</w:t>
            </w:r>
          </w:p>
          <w:p>
            <w:pPr/>
            <w:hyperlink r:id="rId18" w:history="1">
              <w:r>
                <w:rPr>
                  <w:color w:val="#410a8c"/>
                  <w:u w:val="single"/>
                </w:rPr>
                <w:t xml:space="preserve">halshs-03513321v1</w:t>
              </w:r>
            </w:hyperlink>
          </w:p>
        </w:tc>
      </w:tr>
      <w:tr>
        <w:trPr/>
        <w:tc>
          <w:tcPr>
            <w:noWrap/>
          </w:tcPr>
          <w:p>
            <w:pPr>
              <w:spacing w:after="200"/>
            </w:pPr>
            <w:hyperlink r:id="rId19" w:history="1">
              <w:r>
                <w:rPr>
                  <w:color w:val="1e198e"/>
                  <w:b w:val="1"/>
                  <w:bCs w:val="1"/>
                  <w:u w:val="single"/>
                </w:rPr>
                <w:t xml:space="preserve">« Le choix des normes : aspects méthodologiques »</w:t>
              </w:r>
            </w:hyperlink>
          </w:p>
          <w:p>
            <w:pPr/>
            <w:hyperlink r:id="rId8" w:history="1">
              <w:r>
                <w:rPr>
                  <w:color w:val="#410a8c"/>
                  <w:u w:val="single"/>
                </w:rPr>
                <w:t xml:space="preserve">Annabel Quin</w:t>
              </w:r>
            </w:hyperlink>
          </w:p>
          <w:p>
            <w:pPr/>
            <w:r>
              <w:rPr>
                <w:i w:val="1"/>
                <w:iCs w:val="1"/>
              </w:rPr>
              <w:t xml:space="preserve">L'inapplication de la règle de droit</w:t>
            </w:r>
            <w:r>
              <w:rPr/>
              <w:t xml:space="preserve">, Apr 2019, Vannes, France</w:t>
            </w:r>
          </w:p>
          <w:p>
            <w:pPr/>
            <w:r>
              <w:rPr/>
              <w:t xml:space="preserve">Communication dans un congrès</w:t>
            </w:r>
          </w:p>
          <w:p>
            <w:pPr/>
            <w:hyperlink r:id="rId19" w:history="1">
              <w:r>
                <w:rPr>
                  <w:color w:val="#410a8c"/>
                  <w:u w:val="single"/>
                </w:rPr>
                <w:t xml:space="preserve">hal-02568552v1</w:t>
              </w:r>
            </w:hyperlink>
          </w:p>
        </w:tc>
      </w:tr>
      <w:tr>
        <w:trPr/>
        <w:tc>
          <w:tcPr>
            <w:noWrap/>
          </w:tcPr>
          <w:p>
            <w:pPr>
              <w:spacing w:after="200"/>
            </w:pPr>
            <w:hyperlink r:id="rId20" w:history="1">
              <w:r>
                <w:rPr>
                  <w:color w:val="1e198e"/>
                  <w:b w:val="1"/>
                  <w:bCs w:val="1"/>
                  <w:u w:val="single"/>
                </w:rPr>
                <w:t xml:space="preserve">« RGPD : contraintes ou opportunités ? »</w:t>
              </w:r>
            </w:hyperlink>
          </w:p>
          <w:p>
            <w:pPr/>
            <w:hyperlink r:id="rId8" w:history="1">
              <w:r>
                <w:rPr>
                  <w:color w:val="#410a8c"/>
                  <w:u w:val="single"/>
                </w:rPr>
                <w:t xml:space="preserve">Annabel Quin</w:t>
              </w:r>
            </w:hyperlink>
          </w:p>
          <w:p>
            <w:pPr/>
            <w:r>
              <w:rPr>
                <w:i w:val="1"/>
                <w:iCs w:val="1"/>
              </w:rPr>
              <w:t xml:space="preserve">« Quand la parole client devient data, Le traitement automatique du langage naturel » (Chaire Connaissance clients, Fondation UBS)</w:t>
            </w:r>
            <w:r>
              <w:rPr/>
              <w:t xml:space="preserve">, Nov 2019, Vannes, France</w:t>
            </w:r>
          </w:p>
          <w:p>
            <w:pPr/>
            <w:r>
              <w:rPr/>
              <w:t xml:space="preserve">Communication dans un congrès</w:t>
            </w:r>
          </w:p>
          <w:p>
            <w:pPr/>
            <w:hyperlink r:id="rId20" w:history="1">
              <w:r>
                <w:rPr>
                  <w:color w:val="#410a8c"/>
                  <w:u w:val="single"/>
                </w:rPr>
                <w:t xml:space="preserve">hal-02568557v1</w:t>
              </w:r>
            </w:hyperlink>
          </w:p>
        </w:tc>
      </w:tr>
      <w:tr>
        <w:trPr/>
        <w:tc>
          <w:tcPr>
            <w:noWrap/>
          </w:tcPr>
          <w:p>
            <w:pPr>
              <w:spacing w:after="200"/>
            </w:pPr>
            <w:hyperlink r:id="rId21" w:history="1">
              <w:r>
                <w:rPr>
                  <w:color w:val="1e198e"/>
                  <w:b w:val="1"/>
                  <w:bCs w:val="1"/>
                  <w:u w:val="single"/>
                </w:rPr>
                <w:t xml:space="preserve">« La liberté de décider face aux algorithmes et aux systèmes d’information »</w:t>
              </w:r>
            </w:hyperlink>
          </w:p>
          <w:p>
            <w:pPr/>
            <w:hyperlink r:id="rId8" w:history="1">
              <w:r>
                <w:rPr>
                  <w:color w:val="#410a8c"/>
                  <w:u w:val="single"/>
                </w:rPr>
                <w:t xml:space="preserve">Annabel Quin</w:t>
              </w:r>
            </w:hyperlink>
          </w:p>
          <w:p>
            <w:pPr/>
            <w:r>
              <w:rPr>
                <w:i w:val="1"/>
                <w:iCs w:val="1"/>
              </w:rPr>
              <w:t xml:space="preserve">Colloque internationl du GIS Marsouin</w:t>
            </w:r>
            <w:r>
              <w:rPr/>
              <w:t xml:space="preserve">, May 2019, Rennes, France</w:t>
            </w:r>
          </w:p>
          <w:p>
            <w:pPr/>
            <w:r>
              <w:rPr/>
              <w:t xml:space="preserve">Communication dans un congrès</w:t>
            </w:r>
          </w:p>
          <w:p>
            <w:pPr/>
            <w:hyperlink r:id="rId21" w:history="1">
              <w:r>
                <w:rPr>
                  <w:color w:val="#410a8c"/>
                  <w:u w:val="single"/>
                </w:rPr>
                <w:t xml:space="preserve">hal-02568553v1</w:t>
              </w:r>
            </w:hyperlink>
          </w:p>
        </w:tc>
      </w:tr>
      <w:tr>
        <w:trPr/>
        <w:tc>
          <w:tcPr>
            <w:noWrap/>
          </w:tcPr>
          <w:p>
            <w:pPr>
              <w:spacing w:after="200"/>
            </w:pPr>
            <w:hyperlink r:id="rId22" w:history="1">
              <w:r>
                <w:rPr>
                  <w:color w:val="1e198e"/>
                  <w:b w:val="1"/>
                  <w:bCs w:val="1"/>
                  <w:u w:val="single"/>
                </w:rPr>
                <w:t xml:space="preserve">Lobbying et influence : comment faire ?</w:t>
              </w:r>
            </w:hyperlink>
          </w:p>
          <w:p>
            <w:pPr/>
            <w:hyperlink r:id="rId8" w:history="1">
              <w:r>
                <w:rPr>
                  <w:color w:val="#410a8c"/>
                  <w:u w:val="single"/>
                </w:rPr>
                <w:t xml:space="preserve">Annabel Quin</w:t>
              </w:r>
            </w:hyperlink>
          </w:p>
          <w:p>
            <w:pPr/>
            <w:r>
              <w:rPr>
                <w:i w:val="1"/>
                <w:iCs w:val="1"/>
              </w:rPr>
              <w:t xml:space="preserve">Les entretiens du nautisme</w:t>
            </w:r>
            <w:r>
              <w:rPr/>
              <w:t xml:space="preserve">, 2018, Auray, France</w:t>
            </w:r>
          </w:p>
          <w:p>
            <w:pPr/>
            <w:r>
              <w:rPr/>
              <w:t xml:space="preserve">Communication dans un congrès</w:t>
            </w:r>
          </w:p>
          <w:p>
            <w:pPr/>
            <w:hyperlink r:id="rId22" w:history="1">
              <w:r>
                <w:rPr>
                  <w:color w:val="#410a8c"/>
                  <w:u w:val="single"/>
                </w:rPr>
                <w:t xml:space="preserve">hal-02616449v1</w:t>
              </w:r>
            </w:hyperlink>
          </w:p>
        </w:tc>
      </w:tr>
      <w:tr>
        <w:trPr/>
        <w:tc>
          <w:tcPr>
            <w:noWrap/>
          </w:tcPr>
          <w:p>
            <w:pPr>
              <w:spacing w:after="200"/>
            </w:pPr>
            <w:hyperlink r:id="rId23" w:history="1">
              <w:r>
                <w:rPr>
                  <w:color w:val="1e198e"/>
                  <w:b w:val="1"/>
                  <w:bCs w:val="1"/>
                  <w:u w:val="single"/>
                </w:rPr>
                <w:t xml:space="preserve">« RSE et données personnelles »</w:t>
              </w:r>
            </w:hyperlink>
          </w:p>
          <w:p>
            <w:pPr/>
            <w:hyperlink r:id="rId8" w:history="1">
              <w:r>
                <w:rPr>
                  <w:color w:val="#410a8c"/>
                  <w:u w:val="single"/>
                </w:rPr>
                <w:t xml:space="preserve">Annabel Quin</w:t>
              </w:r>
            </w:hyperlink>
          </w:p>
          <w:p>
            <w:pPr/>
            <w:r>
              <w:rPr>
                <w:i w:val="1"/>
                <w:iCs w:val="1"/>
              </w:rPr>
              <w:t xml:space="preserve">11ème atelier de l'innovation (Fondation de l'Université de Rennes 1)</w:t>
            </w:r>
            <w:r>
              <w:rPr/>
              <w:t xml:space="preserve">, Jul 2018, Rennes, France</w:t>
            </w:r>
          </w:p>
          <w:p>
            <w:pPr/>
            <w:r>
              <w:rPr/>
              <w:t xml:space="preserve">Communication dans un congrès</w:t>
            </w:r>
          </w:p>
          <w:p>
            <w:pPr/>
            <w:hyperlink r:id="rId23" w:history="1">
              <w:r>
                <w:rPr>
                  <w:color w:val="#410a8c"/>
                  <w:u w:val="single"/>
                </w:rPr>
                <w:t xml:space="preserve">hal-02568551v1</w:t>
              </w:r>
            </w:hyperlink>
          </w:p>
        </w:tc>
      </w:tr>
      <w:tr>
        <w:trPr/>
        <w:tc>
          <w:tcPr>
            <w:noWrap/>
          </w:tcPr>
          <w:p>
            <w:pPr>
              <w:spacing w:after="200"/>
            </w:pPr>
            <w:hyperlink r:id="rId24" w:history="1">
              <w:r>
                <w:rPr>
                  <w:color w:val="1e198e"/>
                  <w:b w:val="1"/>
                  <w:bCs w:val="1"/>
                  <w:u w:val="single"/>
                </w:rPr>
                <w:t xml:space="preserve">« L’ouverture des données des entreprises privées : de la gestion des risques juridiques à leur management »</w:t>
              </w:r>
            </w:hyperlink>
          </w:p>
          <w:p>
            <w:pPr/>
            <w:hyperlink r:id="rId8" w:history="1">
              <w:r>
                <w:rPr>
                  <w:color w:val="#410a8c"/>
                  <w:u w:val="single"/>
                </w:rPr>
                <w:t xml:space="preserve">Annabel Quin</w:t>
              </w:r>
            </w:hyperlink>
          </w:p>
          <w:p>
            <w:pPr/>
            <w:r>
              <w:rPr>
                <w:i w:val="1"/>
                <w:iCs w:val="1"/>
              </w:rPr>
              <w:t xml:space="preserve">Séminaire du GIS Marsouin</w:t>
            </w:r>
            <w:r>
              <w:rPr/>
              <w:t xml:space="preserve">, Jun 2018, Le Bono, France</w:t>
            </w:r>
          </w:p>
          <w:p>
            <w:pPr/>
            <w:r>
              <w:rPr/>
              <w:t xml:space="preserve">Communication dans un congrès</w:t>
            </w:r>
          </w:p>
          <w:p>
            <w:pPr/>
            <w:hyperlink r:id="rId24" w:history="1">
              <w:r>
                <w:rPr>
                  <w:color w:val="#410a8c"/>
                  <w:u w:val="single"/>
                </w:rPr>
                <w:t xml:space="preserve">hal-02568546v1</w:t>
              </w:r>
            </w:hyperlink>
          </w:p>
        </w:tc>
      </w:tr>
      <w:tr>
        <w:trPr/>
        <w:tc>
          <w:tcPr>
            <w:noWrap/>
          </w:tcPr>
          <w:p>
            <w:pPr>
              <w:spacing w:after="200"/>
            </w:pPr>
            <w:hyperlink r:id="rId25" w:history="1">
              <w:r>
                <w:rPr>
                  <w:color w:val="1e198e"/>
                  <w:b w:val="1"/>
                  <w:bCs w:val="1"/>
                  <w:u w:val="single"/>
                </w:rPr>
                <w:t xml:space="preserve">Vers une gouvernance des COMUE par les datas?</w:t>
              </w:r>
            </w:hyperlink>
          </w:p>
          <w:p>
            <w:pPr/>
            <w:hyperlink r:id="rId8" w:history="1">
              <w:r>
                <w:rPr>
                  <w:color w:val="#410a8c"/>
                  <w:u w:val="single"/>
                </w:rPr>
                <w:t xml:space="preserve">Annabel Quin</w:t>
              </w:r>
            </w:hyperlink>
          </w:p>
          <w:p>
            <w:pPr/>
            <w:r>
              <w:rPr>
                <w:i w:val="1"/>
                <w:iCs w:val="1"/>
              </w:rPr>
              <w:t xml:space="preserve">Les regroupements dans l'enseignement supérieur et la recherche</w:t>
            </w:r>
            <w:r>
              <w:rPr/>
              <w:t xml:space="preserve">, Nov 2017, Poitiers, France</w:t>
            </w:r>
          </w:p>
          <w:p>
            <w:pPr/>
            <w:r>
              <w:rPr/>
              <w:t xml:space="preserve">Communication dans un congrès</w:t>
            </w:r>
          </w:p>
          <w:p>
            <w:pPr/>
            <w:hyperlink r:id="rId25" w:history="1">
              <w:r>
                <w:rPr>
                  <w:color w:val="#410a8c"/>
                  <w:u w:val="single"/>
                </w:rPr>
                <w:t xml:space="preserve">hal-02950871v1</w:t>
              </w:r>
            </w:hyperlink>
          </w:p>
        </w:tc>
      </w:tr>
      <w:tr>
        <w:trPr/>
        <w:tc>
          <w:tcPr>
            <w:noWrap/>
          </w:tcPr>
          <w:p>
            <w:pPr>
              <w:spacing w:after="200"/>
            </w:pPr>
            <w:hyperlink r:id="rId26" w:history="1">
              <w:r>
                <w:rPr>
                  <w:color w:val="1e198e"/>
                  <w:b w:val="1"/>
                  <w:bCs w:val="1"/>
                  <w:u w:val="single"/>
                </w:rPr>
                <w:t xml:space="preserve">« La gouvernance des COMUE (communautés d’universités) par les datas »</w:t>
              </w:r>
            </w:hyperlink>
          </w:p>
          <w:p>
            <w:pPr/>
            <w:hyperlink r:id="rId8" w:history="1">
              <w:r>
                <w:rPr>
                  <w:color w:val="#410a8c"/>
                  <w:u w:val="single"/>
                </w:rPr>
                <w:t xml:space="preserve">Annabel Quin</w:t>
              </w:r>
            </w:hyperlink>
          </w:p>
          <w:p>
            <w:pPr/>
            <w:r>
              <w:rPr>
                <w:i w:val="1"/>
                <w:iCs w:val="1"/>
              </w:rPr>
              <w:t xml:space="preserve">Les regroupements dans l'enseignement supérieur et la recherche</w:t>
            </w:r>
            <w:r>
              <w:rPr/>
              <w:t xml:space="preserve">, Nov 2017, Poitiers, France</w:t>
            </w:r>
          </w:p>
          <w:p>
            <w:pPr/>
            <w:r>
              <w:rPr/>
              <w:t xml:space="preserve">Communication dans un congrès</w:t>
            </w:r>
          </w:p>
          <w:p>
            <w:pPr/>
            <w:hyperlink r:id="rId26" w:history="1">
              <w:r>
                <w:rPr>
                  <w:color w:val="#410a8c"/>
                  <w:u w:val="single"/>
                </w:rPr>
                <w:t xml:space="preserve">hal-02568545v1</w:t>
              </w:r>
            </w:hyperlink>
          </w:p>
        </w:tc>
      </w:tr>
      <w:tr>
        <w:trPr/>
        <w:tc>
          <w:tcPr>
            <w:noWrap/>
          </w:tcPr>
          <w:p>
            <w:pPr>
              <w:spacing w:after="200"/>
            </w:pPr>
            <w:hyperlink r:id="rId27" w:history="1">
              <w:r>
                <w:rPr>
                  <w:color w:val="1e198e"/>
                  <w:b w:val="1"/>
                  <w:bCs w:val="1"/>
                  <w:u w:val="single"/>
                </w:rPr>
                <w:t xml:space="preserve">Transparence, liberté et responsabilité dans l'entreprise. Analyse des obligations de transparence des dirigeants d'entreprise</w:t>
              </w:r>
            </w:hyperlink>
          </w:p>
          <w:p>
            <w:pPr/>
            <w:hyperlink r:id="rId8" w:history="1">
              <w:r>
                <w:rPr>
                  <w:color w:val="#410a8c"/>
                  <w:u w:val="single"/>
                </w:rPr>
                <w:t xml:space="preserve">Annabel Quin</w:t>
              </w:r>
            </w:hyperlink>
          </w:p>
          <w:p>
            <w:pPr/>
            <w:r>
              <w:rPr>
                <w:i w:val="1"/>
                <w:iCs w:val="1"/>
              </w:rPr>
              <w:t xml:space="preserve">"L'individu libéral est-il transparent?", sous la dir. de M. Bessone</w:t>
            </w:r>
            <w:r>
              <w:rPr/>
              <w:t xml:space="preserve">, Mar 2009, Rennes, France</w:t>
            </w:r>
          </w:p>
          <w:p>
            <w:pPr/>
            <w:r>
              <w:rPr/>
              <w:t xml:space="preserve">Communication dans un congrès</w:t>
            </w:r>
          </w:p>
          <w:p>
            <w:pPr/>
            <w:hyperlink r:id="rId27" w:history="1">
              <w:r>
                <w:rPr>
                  <w:color w:val="#410a8c"/>
                  <w:u w:val="single"/>
                </w:rPr>
                <w:t xml:space="preserve">hal-02614840v1</w:t>
              </w:r>
            </w:hyperlink>
          </w:p>
        </w:tc>
      </w:tr>
      <w:tr>
        <w:trPr/>
        <w:tc>
          <w:tcPr>
            <w:noWrap/>
          </w:tcPr>
          <w:p>
            <w:pPr>
              <w:spacing w:after="200"/>
            </w:pPr>
            <w:hyperlink r:id="rId28" w:history="1">
              <w:r>
                <w:rPr>
                  <w:color w:val="1e198e"/>
                  <w:b w:val="1"/>
                  <w:bCs w:val="1"/>
                  <w:u w:val="single"/>
                </w:rPr>
                <w:t xml:space="preserve">« Changes in equity control and enhancing of investors’rights in listed companies : the European Law approach ».</w:t>
              </w:r>
            </w:hyperlink>
          </w:p>
          <w:p>
            <w:pPr/>
            <w:hyperlink r:id="rId8" w:history="1">
              <w:r>
                <w:rPr>
                  <w:color w:val="#410a8c"/>
                  <w:u w:val="single"/>
                </w:rPr>
                <w:t xml:space="preserve">Annabel Quin</w:t>
              </w:r>
            </w:hyperlink>
          </w:p>
          <w:p>
            <w:pPr/>
            <w:r>
              <w:rPr>
                <w:i w:val="1"/>
                <w:iCs w:val="1"/>
              </w:rPr>
              <w:t xml:space="preserve">« Financial institutions, markets and ethics : Mixed approaches in the European context »</w:t>
            </w:r>
            <w:r>
              <w:rPr/>
              <w:t xml:space="preserve">, May 2007, Florence (European University Institute of Florence), Italy</w:t>
            </w:r>
          </w:p>
          <w:p>
            <w:pPr/>
            <w:r>
              <w:rPr/>
              <w:t xml:space="preserve">Communication dans un congrès</w:t>
            </w:r>
          </w:p>
          <w:p>
            <w:pPr/>
            <w:hyperlink r:id="rId28" w:history="1">
              <w:r>
                <w:rPr>
                  <w:color w:val="#410a8c"/>
                  <w:u w:val="single"/>
                </w:rPr>
                <w:t xml:space="preserve">hal-02616200v1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partage de données à caractère personnel entre entreprises déterminées : questionnements juridiques</w:t>
              </w:r>
            </w:hyperlink>
          </w:p>
          <w:p>
            <w:pPr/>
            <w:hyperlink r:id="rId8" w:history="1">
              <w:r>
                <w:rPr>
                  <w:color w:val="#410a8c"/>
                  <w:u w:val="single"/>
                </w:rPr>
                <w:t xml:space="preserve">Annabel Quin</w:t>
              </w:r>
            </w:hyperlink>
          </w:p>
          <w:p>
            <w:pPr/>
            <w:r>
              <w:rPr/>
              <w:t xml:space="preserve">Mare &amp; Martin. </w:t>
            </w:r>
            <w:r>
              <w:rPr>
                <w:i w:val="1"/>
                <w:iCs w:val="1"/>
              </w:rPr>
              <w:t xml:space="preserve">Gouvernance et responsabilité sous la dir. de Nathalie Dedessus-le-Mousier et Nilsa Rojas Hutinel</w:t>
            </w:r>
            <w:r>
              <w:rPr/>
              <w:t xml:space="preserve">, Mare &amp; Martin, A paraître</w:t>
            </w:r>
          </w:p>
          <w:p>
            <w:pPr/>
            <w:r>
              <w:rPr/>
              <w:t xml:space="preserve">Chapitre d'ouvrage</w:t>
            </w:r>
          </w:p>
          <w:p>
            <w:pPr/>
            <w:hyperlink r:id="rId29" w:history="1">
              <w:r>
                <w:rPr>
                  <w:color w:val="#410a8c"/>
                  <w:u w:val="single"/>
                </w:rPr>
                <w:t xml:space="preserve">hal-04894681v1</w:t>
              </w:r>
            </w:hyperlink>
          </w:p>
        </w:tc>
      </w:tr>
      <w:tr>
        <w:trPr/>
        <w:tc>
          <w:tcPr>
            <w:noWrap/>
          </w:tcPr>
          <w:p>
            <w:pPr>
              <w:spacing w:after="200"/>
            </w:pPr>
            <w:hyperlink r:id="rId30" w:history="1">
              <w:r>
                <w:rPr>
                  <w:color w:val="1e198e"/>
                  <w:b w:val="1"/>
                  <w:bCs w:val="1"/>
                  <w:u w:val="single"/>
                </w:rPr>
                <w:t xml:space="preserve">Vers une gouvernance des COMUE par les datas</w:t>
              </w:r>
            </w:hyperlink>
          </w:p>
          <w:p>
            <w:pPr/>
            <w:hyperlink r:id="rId8" w:history="1">
              <w:r>
                <w:rPr>
                  <w:color w:val="#410a8c"/>
                  <w:u w:val="single"/>
                </w:rPr>
                <w:t xml:space="preserve">Annabel Quin</w:t>
              </w:r>
            </w:hyperlink>
          </w:p>
          <w:p>
            <w:pPr/>
            <w:r>
              <w:rPr>
                <w:i w:val="1"/>
                <w:iCs w:val="1"/>
              </w:rPr>
              <w:t xml:space="preserve">Les regroupements dans l'enseignement supérieur et la recherche</w:t>
            </w:r>
            <w:r>
              <w:rPr/>
              <w:t xml:space="preserve">, 2018</w:t>
            </w:r>
          </w:p>
          <w:p>
            <w:pPr/>
            <w:r>
              <w:rPr/>
              <w:t xml:space="preserve">Chapitre d'ouvrage</w:t>
            </w:r>
          </w:p>
          <w:p>
            <w:pPr/>
            <w:hyperlink r:id="rId30" w:history="1">
              <w:r>
                <w:rPr>
                  <w:color w:val="#410a8c"/>
                  <w:u w:val="single"/>
                </w:rPr>
                <w:t xml:space="preserve">hal-02614770v1</w:t>
              </w:r>
            </w:hyperlink>
          </w:p>
        </w:tc>
      </w:tr>
      <w:tr>
        <w:trPr/>
        <w:tc>
          <w:tcPr>
            <w:noWrap/>
          </w:tcPr>
          <w:p>
            <w:pPr>
              <w:spacing w:after="200"/>
            </w:pPr>
            <w:hyperlink r:id="rId31" w:history="1">
              <w:r>
                <w:rPr>
                  <w:color w:val="1e198e"/>
                  <w:b w:val="1"/>
                  <w:bCs w:val="1"/>
                  <w:u w:val="single"/>
                </w:rPr>
                <w:t xml:space="preserve">Vers une gouvernance des COMUE par les datas?</w:t>
              </w:r>
            </w:hyperlink>
          </w:p>
          <w:p>
            <w:pPr/>
            <w:hyperlink r:id="rId8" w:history="1">
              <w:r>
                <w:rPr>
                  <w:color w:val="#410a8c"/>
                  <w:u w:val="single"/>
                </w:rPr>
                <w:t xml:space="preserve">Annabel Quin</w:t>
              </w:r>
            </w:hyperlink>
          </w:p>
          <w:p>
            <w:pPr/>
            <w:r>
              <w:rPr>
                <w:i w:val="1"/>
                <w:iCs w:val="1"/>
              </w:rPr>
              <w:t xml:space="preserve">Les regroupements dans l'enseignement supérieur et la recherche, sous la dir. f'E. Aubin et E.-P. Guiselin</w:t>
            </w:r>
            <w:r>
              <w:rPr/>
              <w:t xml:space="preserve">, 2018</w:t>
            </w:r>
          </w:p>
          <w:p>
            <w:pPr/>
            <w:r>
              <w:rPr/>
              <w:t xml:space="preserve">Chapitre d'ouvrage</w:t>
            </w:r>
          </w:p>
          <w:p>
            <w:pPr/>
            <w:hyperlink r:id="rId31" w:history="1">
              <w:r>
                <w:rPr>
                  <w:color w:val="#410a8c"/>
                  <w:u w:val="single"/>
                </w:rPr>
                <w:t xml:space="preserve">hal-02950875v1</w:t>
              </w:r>
            </w:hyperlink>
          </w:p>
        </w:tc>
      </w:tr>
      <w:tr>
        <w:trPr/>
        <w:tc>
          <w:tcPr>
            <w:noWrap/>
          </w:tcPr>
          <w:p>
            <w:pPr>
              <w:spacing w:after="200"/>
            </w:pPr>
            <w:hyperlink r:id="rId32" w:history="1">
              <w:r>
                <w:rPr>
                  <w:color w:val="1e198e"/>
                  <w:b w:val="1"/>
                  <w:bCs w:val="1"/>
                  <w:u w:val="single"/>
                </w:rPr>
                <w:t xml:space="preserve">Science, neurosciences et conception de l'homme</w:t>
              </w:r>
            </w:hyperlink>
          </w:p>
          <w:p>
            <w:pPr/>
            <w:hyperlink r:id="rId8" w:history="1">
              <w:r>
                <w:rPr>
                  <w:color w:val="#410a8c"/>
                  <w:u w:val="single"/>
                </w:rPr>
                <w:t xml:space="preserve">Annabel Quin</w:t>
              </w:r>
            </w:hyperlink>
          </w:p>
          <w:p>
            <w:pPr/>
            <w:r>
              <w:rPr>
                <w:i w:val="1"/>
                <w:iCs w:val="1"/>
              </w:rPr>
              <w:t xml:space="preserve">Neurolex Sed.. Dura Lex ? L'impact des neurosciences sur les disciplines juridiques et les autres sciences humaines : études comparées, sous la dir. de P. Larrieu, B. Roullet et C. Cavaghan</w:t>
            </w:r>
            <w:r>
              <w:rPr/>
              <w:t xml:space="preserve">, 2013</w:t>
            </w:r>
          </w:p>
          <w:p>
            <w:pPr/>
            <w:r>
              <w:rPr/>
              <w:t xml:space="preserve">Chapitre d'ouvrage</w:t>
            </w:r>
          </w:p>
          <w:p>
            <w:pPr/>
            <w:hyperlink r:id="rId32" w:history="1">
              <w:r>
                <w:rPr>
                  <w:color w:val="#410a8c"/>
                  <w:u w:val="single"/>
                </w:rPr>
                <w:t xml:space="preserve">hal-02614806v1</w:t>
              </w:r>
            </w:hyperlink>
          </w:p>
        </w:tc>
      </w:tr>
      <w:tr>
        <w:trPr/>
        <w:tc>
          <w:tcPr>
            <w:noWrap/>
          </w:tcPr>
          <w:p>
            <w:pPr>
              <w:spacing w:after="200"/>
            </w:pPr>
            <w:hyperlink r:id="rId33" w:history="1">
              <w:r>
                <w:rPr>
                  <w:color w:val="1e198e"/>
                  <w:b w:val="1"/>
                  <w:bCs w:val="1"/>
                  <w:u w:val="single"/>
                </w:rPr>
                <w:t xml:space="preserve">La &amp;quot;Grande Transformation&amp;quot; des semences</w:t>
              </w:r>
            </w:hyperlink>
          </w:p>
          <w:p>
            <w:pPr/>
            <w:hyperlink r:id="rId8" w:history="1">
              <w:r>
                <w:rPr>
                  <w:color w:val="#410a8c"/>
                  <w:u w:val="single"/>
                </w:rPr>
                <w:t xml:space="preserve">Annabel Quin</w:t>
              </w:r>
            </w:hyperlink>
          </w:p>
          <w:p>
            <w:pPr/>
            <w:r>
              <w:rPr/>
              <w:t xml:space="preserve">François Collart Dutilleul. </w:t>
            </w:r>
            <w:r>
              <w:rPr>
                <w:i w:val="1"/>
                <w:iCs w:val="1"/>
              </w:rPr>
              <w:t xml:space="preserve">Penser une démocratie alimentaire (vol. I)</w:t>
            </w:r>
            <w:r>
              <w:rPr/>
              <w:t xml:space="preserve">, Inida (Costa Rica), pp.155, 2013, 9782918382072</w:t>
            </w:r>
          </w:p>
          <w:p>
            <w:pPr/>
            <w:r>
              <w:rPr/>
              <w:t xml:space="preserve">Chapitre d'ouvrage</w:t>
            </w:r>
          </w:p>
          <w:p>
            <w:pPr/>
            <w:hyperlink r:id="rId33" w:history="1">
              <w:r>
                <w:rPr>
                  <w:color w:val="#410a8c"/>
                  <w:u w:val="single"/>
                </w:rPr>
                <w:t xml:space="preserve">hal-00929905v1</w:t>
              </w:r>
            </w:hyperlink>
          </w:p>
        </w:tc>
      </w:tr>
      <w:tr>
        <w:trPr/>
        <w:tc>
          <w:tcPr>
            <w:noWrap/>
          </w:tcPr>
          <w:p>
            <w:pPr>
              <w:spacing w:after="200"/>
            </w:pPr>
            <w:hyperlink r:id="rId34" w:history="1">
              <w:r>
                <w:rPr>
                  <w:color w:val="1e198e"/>
                  <w:b w:val="1"/>
                  <w:bCs w:val="1"/>
                  <w:u w:val="single"/>
                </w:rPr>
                <w:t xml:space="preserve">Contribution au Dictionnaire juridique de la sécurité alimentaire dans le monde</w:t>
              </w:r>
            </w:hyperlink>
          </w:p>
          <w:p>
            <w:pPr/>
            <w:hyperlink r:id="rId8" w:history="1">
              <w:r>
                <w:rPr>
                  <w:color w:val="#410a8c"/>
                  <w:u w:val="single"/>
                </w:rPr>
                <w:t xml:space="preserve">Annabel Quin</w:t>
              </w:r>
            </w:hyperlink>
            <w:r>
              <w:rPr/>
              <w:t xml:space="preserve">,</w:t>
            </w:r>
            <w:hyperlink r:id="rId35" w:history="1">
              <w:r>
                <w:rPr>
                  <w:color w:val="#410a8c"/>
                  <w:u w:val="single"/>
                </w:rPr>
                <w:t xml:space="preserve">François Collart Dutilleul</w:t>
              </w:r>
            </w:hyperlink>
          </w:p>
          <w:p>
            <w:pPr/>
            <w:r>
              <w:rPr>
                <w:i w:val="1"/>
                <w:iCs w:val="1"/>
              </w:rPr>
              <w:t xml:space="preserve">Dictionnaire juridique de la sécurité alimentaire dans le monde</w:t>
            </w:r>
            <w:r>
              <w:rPr/>
              <w:t xml:space="preserve">, 2013</w:t>
            </w:r>
          </w:p>
          <w:p>
            <w:pPr/>
            <w:r>
              <w:rPr/>
              <w:t xml:space="preserve">Chapitre d'ouvrage</w:t>
            </w:r>
          </w:p>
          <w:p>
            <w:pPr/>
            <w:hyperlink r:id="rId34" w:history="1">
              <w:r>
                <w:rPr>
                  <w:color w:val="#410a8c"/>
                  <w:u w:val="single"/>
                </w:rPr>
                <w:t xml:space="preserve">hal-02616450v1</w:t>
              </w:r>
            </w:hyperlink>
          </w:p>
        </w:tc>
      </w:tr>
      <w:tr>
        <w:trPr/>
        <w:tc>
          <w:tcPr>
            <w:noWrap/>
          </w:tcPr>
          <w:p>
            <w:pPr>
              <w:spacing w:after="200"/>
            </w:pPr>
            <w:hyperlink r:id="rId36" w:history="1">
              <w:r>
                <w:rPr>
                  <w:color w:val="1e198e"/>
                  <w:b w:val="1"/>
                  <w:bCs w:val="1"/>
                  <w:u w:val="single"/>
                </w:rPr>
                <w:t xml:space="preserve">Le contentieux relatif au financement des opérations immobilières</w:t>
              </w:r>
            </w:hyperlink>
          </w:p>
          <w:p>
            <w:pPr/>
            <w:hyperlink r:id="rId8" w:history="1">
              <w:r>
                <w:rPr>
                  <w:color w:val="#410a8c"/>
                  <w:u w:val="single"/>
                </w:rPr>
                <w:t xml:space="preserve">Annabel Quin</w:t>
              </w:r>
            </w:hyperlink>
          </w:p>
          <w:p>
            <w:pPr/>
            <w:r>
              <w:rPr>
                <w:i w:val="1"/>
                <w:iCs w:val="1"/>
              </w:rPr>
              <w:t xml:space="preserve">Les contentieux immobiliers, sous la dir. de J.-L. Bergel</w:t>
            </w:r>
            <w:r>
              <w:rPr/>
              <w:t xml:space="preserve">, 2010</w:t>
            </w:r>
          </w:p>
          <w:p>
            <w:pPr/>
            <w:r>
              <w:rPr/>
              <w:t xml:space="preserve">Chapitre d'ouvrage</w:t>
            </w:r>
          </w:p>
          <w:p>
            <w:pPr/>
            <w:hyperlink r:id="rId36" w:history="1">
              <w:r>
                <w:rPr>
                  <w:color w:val="#410a8c"/>
                  <w:u w:val="single"/>
                </w:rPr>
                <w:t xml:space="preserve">hal-02614848v1</w:t>
              </w:r>
            </w:hyperlink>
          </w:p>
        </w:tc>
      </w:tr>
      <w:tr>
        <w:trPr/>
        <w:tc>
          <w:tcPr>
            <w:noWrap/>
          </w:tcPr>
          <w:p>
            <w:pPr>
              <w:spacing w:after="200"/>
            </w:pPr>
            <w:hyperlink r:id="rId37" w:history="1">
              <w:r>
                <w:rPr>
                  <w:color w:val="1e198e"/>
                  <w:b w:val="1"/>
                  <w:bCs w:val="1"/>
                  <w:u w:val="single"/>
                </w:rPr>
                <w:t xml:space="preserve">La promotion par la Francophonie de principes de régulation des échanges économiques internationaux</w:t>
              </w:r>
            </w:hyperlink>
          </w:p>
          <w:p>
            <w:pPr/>
            <w:hyperlink r:id="rId8" w:history="1">
              <w:r>
                <w:rPr>
                  <w:color w:val="#410a8c"/>
                  <w:u w:val="single"/>
                </w:rPr>
                <w:t xml:space="preserve">Annabel Quin</w:t>
              </w:r>
            </w:hyperlink>
          </w:p>
          <w:p>
            <w:pPr/>
            <w:r>
              <w:rPr>
                <w:i w:val="1"/>
                <w:iCs w:val="1"/>
              </w:rPr>
              <w:t xml:space="preserve">La promotion des relations internationales de l'Union européenne par la Francophonie</w:t>
            </w:r>
            <w:r>
              <w:rPr/>
              <w:t xml:space="preserve">, 2008</w:t>
            </w:r>
          </w:p>
          <w:p>
            <w:pPr/>
            <w:r>
              <w:rPr/>
              <w:t xml:space="preserve">Chapitre d'ouvrage</w:t>
            </w:r>
          </w:p>
          <w:p>
            <w:pPr/>
            <w:hyperlink r:id="rId37" w:history="1">
              <w:r>
                <w:rPr>
                  <w:color w:val="#410a8c"/>
                  <w:u w:val="single"/>
                </w:rPr>
                <w:t xml:space="preserve">hal-02614796v1</w:t>
              </w:r>
            </w:hyperlink>
          </w:p>
        </w:tc>
      </w:tr>
      <w:tr>
        <w:trPr/>
        <w:tc>
          <w:tcPr>
            <w:noWrap/>
          </w:tcPr>
          <w:p>
            <w:pPr>
              <w:spacing w:after="200"/>
            </w:pPr>
            <w:hyperlink r:id="rId38" w:history="1">
              <w:r>
                <w:rPr>
                  <w:color w:val="1e198e"/>
                  <w:b w:val="1"/>
                  <w:bCs w:val="1"/>
                  <w:u w:val="single"/>
                </w:rPr>
                <w:t xml:space="preserve">La responsabilité des contrôleurs techniques</w:t>
              </w:r>
            </w:hyperlink>
          </w:p>
          <w:p>
            <w:pPr/>
            <w:hyperlink r:id="rId8" w:history="1">
              <w:r>
                <w:rPr>
                  <w:color w:val="#410a8c"/>
                  <w:u w:val="single"/>
                </w:rPr>
                <w:t xml:space="preserve">Annabel Quin</w:t>
              </w:r>
            </w:hyperlink>
          </w:p>
          <w:p>
            <w:pPr/>
            <w:r>
              <w:rPr>
                <w:i w:val="1"/>
                <w:iCs w:val="1"/>
              </w:rPr>
              <w:t xml:space="preserve">Missions et responsabilités des professionnels de l'immobilier, sous la dir. de J.-L. Bergel</w:t>
            </w:r>
            <w:r>
              <w:rPr/>
              <w:t xml:space="preserve">, 2006</w:t>
            </w:r>
          </w:p>
          <w:p>
            <w:pPr/>
            <w:r>
              <w:rPr/>
              <w:t xml:space="preserve">Chapitre d'ouvrage</w:t>
            </w:r>
          </w:p>
          <w:p>
            <w:pPr/>
            <w:hyperlink r:id="rId38" w:history="1">
              <w:r>
                <w:rPr>
                  <w:color w:val="#410a8c"/>
                  <w:u w:val="single"/>
                </w:rPr>
                <w:t xml:space="preserve">hal-02614852v1</w:t>
              </w:r>
            </w:hyperlink>
          </w:p>
        </w:tc>
      </w:tr>
      <w:tr>
        <w:trPr/>
        <w:tc>
          <w:tcPr>
            <w:noWrap/>
          </w:tcPr>
          <w:p>
            <w:pPr>
              <w:spacing w:after="200"/>
            </w:pPr>
            <w:hyperlink r:id="rId39" w:history="1">
              <w:r>
                <w:rPr>
                  <w:color w:val="1e198e"/>
                  <w:b w:val="1"/>
                  <w:bCs w:val="1"/>
                  <w:u w:val="single"/>
                </w:rPr>
                <w:t xml:space="preserve">Les mesures de droit communautaire soutenant le financement privé des PME</w:t>
              </w:r>
            </w:hyperlink>
          </w:p>
          <w:p>
            <w:pPr/>
            <w:hyperlink r:id="rId8" w:history="1">
              <w:r>
                <w:rPr>
                  <w:color w:val="#410a8c"/>
                  <w:u w:val="single"/>
                </w:rPr>
                <w:t xml:space="preserve">Annabel Quin</w:t>
              </w:r>
            </w:hyperlink>
          </w:p>
          <w:p>
            <w:pPr/>
            <w:r>
              <w:rPr>
                <w:i w:val="1"/>
                <w:iCs w:val="1"/>
              </w:rPr>
              <w:t xml:space="preserve">Les PME communautaires, sous la dir. de S.Clavel et L.Nurit</w:t>
            </w:r>
            <w:r>
              <w:rPr/>
              <w:t xml:space="preserve">, 2005</w:t>
            </w:r>
          </w:p>
          <w:p>
            <w:pPr/>
            <w:r>
              <w:rPr/>
              <w:t xml:space="preserve">Chapitre d'ouvrage</w:t>
            </w:r>
          </w:p>
          <w:p>
            <w:pPr/>
            <w:hyperlink r:id="rId39" w:history="1">
              <w:r>
                <w:rPr>
                  <w:color w:val="#410a8c"/>
                  <w:u w:val="single"/>
                </w:rPr>
                <w:t xml:space="preserve">hal-02614799v1</w:t>
              </w:r>
            </w:hyperlink>
          </w:p>
        </w:tc>
      </w:tr>
      <w:tr>
        <w:trPr/>
        <w:tc>
          <w:tcPr>
            <w:noWrap/>
          </w:tcPr>
          <w:p>
            <w:pPr>
              <w:spacing w:after="200"/>
            </w:pPr>
            <w:hyperlink r:id="rId40" w:history="1">
              <w:r>
                <w:rPr>
                  <w:color w:val="1e198e"/>
                  <w:b w:val="1"/>
                  <w:bCs w:val="1"/>
                  <w:u w:val="single"/>
                </w:rPr>
                <w:t xml:space="preserve">Collaboration à l'ouvrage Dictionnaire des servitudes (Nature-Définition-Régime)</w:t>
              </w:r>
            </w:hyperlink>
          </w:p>
          <w:p>
            <w:pPr/>
            <w:hyperlink r:id="rId8" w:history="1">
              <w:r>
                <w:rPr>
                  <w:color w:val="#410a8c"/>
                  <w:u w:val="single"/>
                </w:rPr>
                <w:t xml:space="preserve">Annabel Quin</w:t>
              </w:r>
            </w:hyperlink>
          </w:p>
          <w:p>
            <w:pPr/>
            <w:r>
              <w:rPr>
                <w:i w:val="1"/>
                <w:iCs w:val="1"/>
              </w:rPr>
              <w:t xml:space="preserve">Dictionnaire des servitudes (Nature-Définition-Régime)</w:t>
            </w:r>
            <w:r>
              <w:rPr/>
              <w:t xml:space="preserve">, 2003</w:t>
            </w:r>
          </w:p>
          <w:p>
            <w:pPr/>
            <w:r>
              <w:rPr/>
              <w:t xml:space="preserve">Chapitre d'ouvrage</w:t>
            </w:r>
          </w:p>
          <w:p>
            <w:pPr/>
            <w:hyperlink r:id="rId40" w:history="1">
              <w:r>
                <w:rPr>
                  <w:color w:val="#410a8c"/>
                  <w:u w:val="single"/>
                </w:rPr>
                <w:t xml:space="preserve">hal-02616202v1</w:t>
              </w:r>
            </w:hyperlink>
          </w:p>
        </w:tc>
      </w:tr>
      <w:tr>
        <w:trPr/>
        <w:tc>
          <w:tcPr>
            <w:noWrap/>
          </w:tcPr>
          <w:p>
            <w:pPr>
              <w:spacing w:after="200"/>
            </w:pPr>
            <w:hyperlink r:id="rId41" w:history="1">
              <w:r>
                <w:rPr>
                  <w:color w:val="1e198e"/>
                  <w:b w:val="1"/>
                  <w:bCs w:val="1"/>
                  <w:u w:val="single"/>
                </w:rPr>
                <w:t xml:space="preserve">Assurance-construction : commentaire de l'arrêt rendu par la Première chambre civile de la Cour de cassation le 19 décembre 1990</w:t>
              </w:r>
            </w:hyperlink>
          </w:p>
          <w:p>
            <w:pPr/>
            <w:hyperlink r:id="rId8" w:history="1">
              <w:r>
                <w:rPr>
                  <w:color w:val="#410a8c"/>
                  <w:u w:val="single"/>
                </w:rPr>
                <w:t xml:space="preserve">Annabel Quin</w:t>
              </w:r>
            </w:hyperlink>
          </w:p>
          <w:p>
            <w:pPr/>
            <w:r>
              <w:rPr>
                <w:i w:val="1"/>
                <w:iCs w:val="1"/>
              </w:rPr>
              <w:t xml:space="preserve">Les grands arrêts du droit immobilier, sous la dir. de J.-L. Bergel, Dalloz</w:t>
            </w:r>
            <w:r>
              <w:rPr/>
              <w:t xml:space="preserve">, 2001</w:t>
            </w:r>
          </w:p>
          <w:p>
            <w:pPr/>
            <w:r>
              <w:rPr/>
              <w:t xml:space="preserve">Chapitre d'ouvrage</w:t>
            </w:r>
          </w:p>
          <w:p>
            <w:pPr/>
            <w:hyperlink r:id="rId41" w:history="1">
              <w:r>
                <w:rPr>
                  <w:color w:val="#410a8c"/>
                  <w:u w:val="single"/>
                </w:rPr>
                <w:t xml:space="preserve">hal-02616107v1</w:t>
              </w:r>
            </w:hyperlink>
          </w:p>
        </w:tc>
      </w:tr>
      <w:tr>
        <w:trPr/>
        <w:tc>
          <w:tcPr>
            <w:noWrap/>
          </w:tcPr>
          <w:p>
            <w:pPr>
              <w:spacing w:after="200"/>
            </w:pPr>
            <w:hyperlink r:id="rId42" w:history="1">
              <w:r>
                <w:rPr>
                  <w:color w:val="1e198e"/>
                  <w:b w:val="1"/>
                  <w:bCs w:val="1"/>
                  <w:u w:val="single"/>
                </w:rPr>
                <w:t xml:space="preserve">Cour d'appel</w:t>
              </w:r>
            </w:hyperlink>
          </w:p>
          <w:p>
            <w:pPr/>
            <w:hyperlink r:id="rId8" w:history="1">
              <w:r>
                <w:rPr>
                  <w:color w:val="#410a8c"/>
                  <w:u w:val="single"/>
                </w:rPr>
                <w:t xml:space="preserve">Annabel Quin</w:t>
              </w:r>
            </w:hyperlink>
            <w:r>
              <w:rPr/>
              <w:t xml:space="preserve">,</w:t>
            </w:r>
            <w:hyperlink r:id="rId43" w:history="1">
              <w:r>
                <w:rPr>
                  <w:color w:val="#410a8c"/>
                  <w:u w:val="single"/>
                </w:rPr>
                <w:t xml:space="preserve">Emmanuel Putman</w:t>
              </w:r>
            </w:hyperlink>
          </w:p>
          <w:p>
            <w:pPr/>
            <w:r>
              <w:rPr>
                <w:i w:val="1"/>
                <w:iCs w:val="1"/>
              </w:rPr>
              <w:t xml:space="preserve">Répertoire Procédure civile</w:t>
            </w:r>
            <w:r>
              <w:rPr/>
              <w:t xml:space="preserve">, 2001</w:t>
            </w:r>
          </w:p>
          <w:p>
            <w:pPr/>
            <w:r>
              <w:rPr/>
              <w:t xml:space="preserve">Chapitre d'ouvrage</w:t>
            </w:r>
          </w:p>
          <w:p>
            <w:pPr/>
            <w:hyperlink r:id="rId42" w:history="1">
              <w:r>
                <w:rPr>
                  <w:color w:val="#410a8c"/>
                  <w:u w:val="single"/>
                </w:rPr>
                <w:t xml:space="preserve">hal-02616204v1</w:t>
              </w:r>
            </w:hyperlink>
          </w:p>
        </w:tc>
      </w:tr>
      <w:tr>
        <w:trPr/>
        <w:tc>
          <w:tcPr>
            <w:noWrap/>
          </w:tcPr>
          <w:p>
            <w:pPr>
              <w:spacing w:after="200"/>
            </w:pPr>
            <w:hyperlink r:id="rId44" w:history="1">
              <w:r>
                <w:rPr>
                  <w:color w:val="1e198e"/>
                  <w:b w:val="1"/>
                  <w:bCs w:val="1"/>
                  <w:u w:val="single"/>
                </w:rPr>
                <w:t xml:space="preserve">Commentaire de l'article 237 du Code civil</w:t>
              </w:r>
            </w:hyperlink>
          </w:p>
          <w:p>
            <w:pPr/>
            <w:hyperlink r:id="rId8" w:history="1">
              <w:r>
                <w:rPr>
                  <w:color w:val="#410a8c"/>
                  <w:u w:val="single"/>
                </w:rPr>
                <w:t xml:space="preserve">Annabel Quin</w:t>
              </w:r>
            </w:hyperlink>
          </w:p>
          <w:p>
            <w:pPr/>
            <w:r>
              <w:rPr>
                <w:i w:val="1"/>
                <w:iCs w:val="1"/>
              </w:rPr>
              <w:t xml:space="preserve">Le commentaire de textes juridiques, 1ère édition</w:t>
            </w:r>
            <w:r>
              <w:rPr/>
              <w:t xml:space="preserve">, 1998</w:t>
            </w:r>
          </w:p>
          <w:p>
            <w:pPr/>
            <w:r>
              <w:rPr/>
              <w:t xml:space="preserve">Chapitre d'ouvrage</w:t>
            </w:r>
          </w:p>
          <w:p>
            <w:pPr/>
            <w:hyperlink r:id="rId44" w:history="1">
              <w:r>
                <w:rPr>
                  <w:color w:val="#410a8c"/>
                  <w:u w:val="single"/>
                </w:rPr>
                <w:t xml:space="preserve">hal-02616105v1</w:t>
              </w:r>
            </w:hyperlink>
          </w:p>
        </w:tc>
      </w:tr>
    </w:tbl>
    <w:p>
      <w:pPr>
        <w:spacing w:before="200"/>
      </w:pPr>
    </w:p>
    <w:p>
      <w:pPr>
        <w:pStyle w:val="Heading2"/>
      </w:pPr>
      <w:r>
        <w:rPr>
          <w:color w:val="1e198e"/>
          <w:b w:val="1"/>
          <w:bCs w:val="1"/>
        </w:rPr>
        <w:t xml:space="preserve">Autre publication scientifique (256)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Stopcovid » et choix entre système centralisé et système décentralisé : qui décide ?</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5" w:history="1">
              <w:r>
                <w:rPr>
                  <w:color w:val="#410a8c"/>
                  <w:u w:val="single"/>
                </w:rPr>
                <w:t xml:space="preserve">hal-02614856v1</w:t>
              </w:r>
            </w:hyperlink>
          </w:p>
        </w:tc>
      </w:tr>
      <w:tr>
        <w:trPr/>
        <w:tc>
          <w:tcPr>
            <w:noWrap/>
          </w:tcPr>
          <w:p>
            <w:pPr>
              <w:spacing w:after="200"/>
            </w:pPr>
            <w:hyperlink r:id="rId46" w:history="1">
              <w:r>
                <w:rPr>
                  <w:color w:val="1e198e"/>
                  <w:b w:val="1"/>
                  <w:bCs w:val="1"/>
                  <w:u w:val="single"/>
                </w:rPr>
                <w:t xml:space="preserve">Revente d’ebooks d’occasion : la distinction entre les livres matériels et les livres numériques</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6" w:history="1">
              <w:r>
                <w:rPr>
                  <w:color w:val="#410a8c"/>
                  <w:u w:val="single"/>
                </w:rPr>
                <w:t xml:space="preserve">hal-02504272v1</w:t>
              </w:r>
            </w:hyperlink>
          </w:p>
        </w:tc>
      </w:tr>
      <w:tr>
        <w:trPr/>
        <w:tc>
          <w:tcPr>
            <w:noWrap/>
          </w:tcPr>
          <w:p>
            <w:pPr>
              <w:spacing w:after="200"/>
            </w:pPr>
            <w:hyperlink r:id="rId47" w:history="1">
              <w:r>
                <w:rPr>
                  <w:color w:val="1e198e"/>
                  <w:b w:val="1"/>
                  <w:bCs w:val="1"/>
                  <w:u w:val="single"/>
                </w:rPr>
                <w:t xml:space="preserve">Revente d’e-books d’occasion : la notion de « mise à la disposition du public »</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7" w:history="1">
              <w:r>
                <w:rPr>
                  <w:color w:val="#410a8c"/>
                  <w:u w:val="single"/>
                </w:rPr>
                <w:t xml:space="preserve">hal-02504277v1</w:t>
              </w:r>
            </w:hyperlink>
          </w:p>
        </w:tc>
      </w:tr>
      <w:tr>
        <w:trPr/>
        <w:tc>
          <w:tcPr>
            <w:noWrap/>
          </w:tcPr>
          <w:p>
            <w:pPr>
              <w:spacing w:after="200"/>
            </w:pPr>
            <w:hyperlink r:id="rId48" w:history="1">
              <w:r>
                <w:rPr>
                  <w:color w:val="1e198e"/>
                  <w:b w:val="1"/>
                  <w:bCs w:val="1"/>
                  <w:u w:val="single"/>
                </w:rPr>
                <w:t xml:space="preserve">Datajust, point de départ d’une nouvelle conception du travail des juristes ? La question de l’utilisation du futur algorithme</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8" w:history="1">
              <w:r>
                <w:rPr>
                  <w:color w:val="#410a8c"/>
                  <w:u w:val="single"/>
                </w:rPr>
                <w:t xml:space="preserve">hal-02614854v1</w:t>
              </w:r>
            </w:hyperlink>
          </w:p>
        </w:tc>
      </w:tr>
      <w:tr>
        <w:trPr/>
        <w:tc>
          <w:tcPr>
            <w:noWrap/>
          </w:tcPr>
          <w:p>
            <w:pPr>
              <w:spacing w:after="200"/>
            </w:pPr>
            <w:hyperlink r:id="rId49" w:history="1">
              <w:r>
                <w:rPr>
                  <w:color w:val="1e198e"/>
                  <w:b w:val="1"/>
                  <w:bCs w:val="1"/>
                  <w:u w:val="single"/>
                </w:rPr>
                <w:t xml:space="preserve">Datajust : création d’une base de données sur l’indemnisation des préjudices corporels</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9" w:history="1">
              <w:r>
                <w:rPr>
                  <w:color w:val="#410a8c"/>
                  <w:u w:val="single"/>
                </w:rPr>
                <w:t xml:space="preserve">hal-02614855v1</w:t>
              </w:r>
            </w:hyperlink>
          </w:p>
        </w:tc>
      </w:tr>
      <w:tr>
        <w:trPr/>
        <w:tc>
          <w:tcPr>
            <w:noWrap/>
          </w:tcPr>
          <w:p>
            <w:pPr>
              <w:spacing w:after="200"/>
            </w:pPr>
            <w:hyperlink r:id="rId50" w:history="1">
              <w:r>
                <w:rPr>
                  <w:color w:val="1e198e"/>
                  <w:b w:val="1"/>
                  <w:bCs w:val="1"/>
                  <w:u w:val="single"/>
                </w:rPr>
                <w:t xml:space="preserve">« Stopcovid » et choix entre système centralisé et système décentralisé : quid d’une approche pragmatique ?</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50" w:history="1">
              <w:r>
                <w:rPr>
                  <w:color w:val="#410a8c"/>
                  <w:u w:val="single"/>
                </w:rPr>
                <w:t xml:space="preserve">hal-02614857v1</w:t>
              </w:r>
            </w:hyperlink>
          </w:p>
        </w:tc>
      </w:tr>
      <w:tr>
        <w:trPr/>
        <w:tc>
          <w:tcPr>
            <w:noWrap/>
          </w:tcPr>
          <w:p>
            <w:pPr>
              <w:spacing w:after="200"/>
            </w:pPr>
            <w:hyperlink r:id="rId51" w:history="1">
              <w:r>
                <w:rPr>
                  <w:color w:val="1e198e"/>
                  <w:b w:val="1"/>
                  <w:bCs w:val="1"/>
                  <w:u w:val="single"/>
                </w:rPr>
                <w:t xml:space="preserve">Contrats à distance : Amazon n’est pas tenu de communiquer son numéro de téléphone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1" w:history="1">
              <w:r>
                <w:rPr>
                  <w:color w:val="#410a8c"/>
                  <w:u w:val="single"/>
                </w:rPr>
                <w:t xml:space="preserve">hal-02504228v1</w:t>
              </w:r>
            </w:hyperlink>
          </w:p>
        </w:tc>
      </w:tr>
      <w:tr>
        <w:trPr/>
        <w:tc>
          <w:tcPr>
            <w:noWrap/>
          </w:tcPr>
          <w:p>
            <w:pPr>
              <w:spacing w:after="200"/>
            </w:pPr>
            <w:hyperlink r:id="rId52" w:history="1">
              <w:r>
                <w:rPr>
                  <w:color w:val="1e198e"/>
                  <w:b w:val="1"/>
                  <w:bCs w:val="1"/>
                  <w:u w:val="single"/>
                </w:rPr>
                <w:t xml:space="preserve">Devoir de mise en garde du banquier : la notion de préjudice réparable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2" w:history="1">
              <w:r>
                <w:rPr>
                  <w:color w:val="#410a8c"/>
                  <w:u w:val="single"/>
                </w:rPr>
                <w:t xml:space="preserve">hal-02504184v1</w:t>
              </w:r>
            </w:hyperlink>
          </w:p>
        </w:tc>
      </w:tr>
      <w:tr>
        <w:trPr/>
        <w:tc>
          <w:tcPr>
            <w:noWrap/>
          </w:tcPr>
          <w:p>
            <w:pPr>
              <w:spacing w:after="200"/>
            </w:pPr>
            <w:hyperlink r:id="rId53" w:history="1">
              <w:r>
                <w:rPr>
                  <w:color w:val="1e198e"/>
                  <w:b w:val="1"/>
                  <w:bCs w:val="1"/>
                  <w:u w:val="single"/>
                </w:rPr>
                <w:t xml:space="preserve">Les dispositions de la loi Pacte sur les véhicules autonomes : les conditions de circulation et le régime de responsabilité pénale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3" w:history="1">
              <w:r>
                <w:rPr>
                  <w:color w:val="#410a8c"/>
                  <w:u w:val="single"/>
                </w:rPr>
                <w:t xml:space="preserve">hal-02504241v1</w:t>
              </w:r>
            </w:hyperlink>
          </w:p>
        </w:tc>
      </w:tr>
      <w:tr>
        <w:trPr/>
        <w:tc>
          <w:tcPr>
            <w:noWrap/>
          </w:tcPr>
          <w:p>
            <w:pPr>
              <w:spacing w:after="200"/>
            </w:pPr>
            <w:hyperlink r:id="rId54" w:history="1">
              <w:r>
                <w:rPr>
                  <w:color w:val="1e198e"/>
                  <w:b w:val="1"/>
                  <w:bCs w:val="1"/>
                  <w:u w:val="single"/>
                </w:rPr>
                <w:t xml:space="preserve">La communication des algorithmes de Parcoursup face au secret des délibérations : une question déjà résolue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4" w:history="1">
              <w:r>
                <w:rPr>
                  <w:color w:val="#410a8c"/>
                  <w:u w:val="single"/>
                </w:rPr>
                <w:t xml:space="preserve">hal-02504165v1</w:t>
              </w:r>
            </w:hyperlink>
          </w:p>
        </w:tc>
      </w:tr>
      <w:tr>
        <w:trPr/>
        <w:tc>
          <w:tcPr>
            <w:noWrap/>
          </w:tcPr>
          <w:p>
            <w:pPr>
              <w:spacing w:after="200"/>
            </w:pPr>
            <w:hyperlink r:id="rId55" w:history="1">
              <w:r>
                <w:rPr>
                  <w:color w:val="1e198e"/>
                  <w:b w:val="1"/>
                  <w:bCs w:val="1"/>
                  <w:u w:val="single"/>
                </w:rPr>
                <w:t xml:space="preserve">La protection des lanceurs d’alerte, nouveau fait justificatif excluant toute infraction pénale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5" w:history="1">
              <w:r>
                <w:rPr>
                  <w:color w:val="#410a8c"/>
                  <w:u w:val="single"/>
                </w:rPr>
                <w:t xml:space="preserve">hal-02504146v1</w:t>
              </w:r>
            </w:hyperlink>
          </w:p>
        </w:tc>
      </w:tr>
      <w:tr>
        <w:trPr/>
        <w:tc>
          <w:tcPr>
            <w:noWrap/>
          </w:tcPr>
          <w:p>
            <w:pPr>
              <w:spacing w:after="200"/>
            </w:pPr>
            <w:hyperlink r:id="rId56" w:history="1">
              <w:r>
                <w:rPr>
                  <w:color w:val="1e198e"/>
                  <w:b w:val="1"/>
                  <w:bCs w:val="1"/>
                  <w:u w:val="single"/>
                </w:rPr>
                <w:t xml:space="preserve">SkypeOut est un service de communications électroniques au sens de la directive-cadre du 7 mars 2002</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6" w:history="1">
              <w:r>
                <w:rPr>
                  <w:color w:val="#410a8c"/>
                  <w:u w:val="single"/>
                </w:rPr>
                <w:t xml:space="preserve">hal-02504220v1</w:t>
              </w:r>
            </w:hyperlink>
          </w:p>
        </w:tc>
      </w:tr>
      <w:tr>
        <w:trPr/>
        <w:tc>
          <w:tcPr>
            <w:noWrap/>
          </w:tcPr>
          <w:p>
            <w:pPr>
              <w:spacing w:after="200"/>
            </w:pPr>
            <w:hyperlink r:id="rId57" w:history="1">
              <w:r>
                <w:rPr>
                  <w:color w:val="1e198e"/>
                  <w:b w:val="1"/>
                  <w:bCs w:val="1"/>
                  <w:u w:val="single"/>
                </w:rPr>
                <w:t xml:space="preserve">Les nouveaux acteurs du dialogue social dans la fonction publique : les Comités sociaux d’administration et les Comités sociaux territoriaux (loi du 6 août 2019 de transformation de la fonction publique)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7" w:history="1">
              <w:r>
                <w:rPr>
                  <w:color w:val="#410a8c"/>
                  <w:u w:val="single"/>
                </w:rPr>
                <w:t xml:space="preserve">hal-02504263v1</w:t>
              </w:r>
            </w:hyperlink>
          </w:p>
        </w:tc>
      </w:tr>
      <w:tr>
        <w:trPr/>
        <w:tc>
          <w:tcPr>
            <w:noWrap/>
          </w:tcPr>
          <w:p>
            <w:pPr>
              <w:spacing w:after="200"/>
            </w:pPr>
            <w:hyperlink r:id="rId58" w:history="1">
              <w:r>
                <w:rPr>
                  <w:color w:val="1e198e"/>
                  <w:b w:val="1"/>
                  <w:bCs w:val="1"/>
                  <w:u w:val="single"/>
                </w:rPr>
                <w:t xml:space="preserve">Le bailleur a un droit d’accession sur les sous-loyers versés au locataire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8" w:history="1">
              <w:r>
                <w:rPr>
                  <w:color w:val="#410a8c"/>
                  <w:u w:val="single"/>
                </w:rPr>
                <w:t xml:space="preserve">hal-02504259v1</w:t>
              </w:r>
            </w:hyperlink>
          </w:p>
        </w:tc>
      </w:tr>
      <w:tr>
        <w:trPr/>
        <w:tc>
          <w:tcPr>
            <w:noWrap/>
          </w:tcPr>
          <w:p>
            <w:pPr>
              <w:spacing w:after="200"/>
            </w:pPr>
            <w:hyperlink r:id="rId59" w:history="1">
              <w:r>
                <w:rPr>
                  <w:color w:val="1e198e"/>
                  <w:b w:val="1"/>
                  <w:bCs w:val="1"/>
                  <w:u w:val="single"/>
                </w:rPr>
                <w:t xml:space="preserve">le fichier TES validé par le Conseil d’Etat</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9" w:history="1">
              <w:r>
                <w:rPr>
                  <w:color w:val="#410a8c"/>
                  <w:u w:val="single"/>
                </w:rPr>
                <w:t xml:space="preserve">hal-02504150v1</w:t>
              </w:r>
            </w:hyperlink>
          </w:p>
        </w:tc>
      </w:tr>
      <w:tr>
        <w:trPr/>
        <w:tc>
          <w:tcPr>
            <w:noWrap/>
          </w:tcPr>
          <w:p>
            <w:pPr>
              <w:spacing w:after="200"/>
            </w:pPr>
            <w:hyperlink r:id="rId60" w:history="1">
              <w:r>
                <w:rPr>
                  <w:color w:val="1e198e"/>
                  <w:b w:val="1"/>
                  <w:bCs w:val="1"/>
                  <w:u w:val="single"/>
                </w:rPr>
                <w:t xml:space="preserve">Les algorithmes de Parcoursup sont-ils des documents communicables ?</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0" w:history="1">
              <w:r>
                <w:rPr>
                  <w:color w:val="#410a8c"/>
                  <w:u w:val="single"/>
                </w:rPr>
                <w:t xml:space="preserve">hal-02504162v1</w:t>
              </w:r>
            </w:hyperlink>
          </w:p>
        </w:tc>
      </w:tr>
      <w:tr>
        <w:trPr/>
        <w:tc>
          <w:tcPr>
            <w:noWrap/>
          </w:tcPr>
          <w:p>
            <w:pPr>
              <w:spacing w:after="200"/>
            </w:pPr>
            <w:hyperlink r:id="rId61" w:history="1">
              <w:r>
                <w:rPr>
                  <w:color w:val="1e198e"/>
                  <w:b w:val="1"/>
                  <w:bCs w:val="1"/>
                  <w:u w:val="single"/>
                </w:rPr>
                <w:t xml:space="preserve">Marchés publics : les exigences de chiffrement (cryptage) des données et de sécurité des systèmes d’information</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1" w:history="1">
              <w:r>
                <w:rPr>
                  <w:color w:val="#410a8c"/>
                  <w:u w:val="single"/>
                </w:rPr>
                <w:t xml:space="preserve">hal-02504247v1</w:t>
              </w:r>
            </w:hyperlink>
          </w:p>
        </w:tc>
      </w:tr>
      <w:tr>
        <w:trPr/>
        <w:tc>
          <w:tcPr>
            <w:noWrap/>
          </w:tcPr>
          <w:p>
            <w:pPr>
              <w:spacing w:after="200"/>
            </w:pPr>
            <w:hyperlink r:id="rId62" w:history="1">
              <w:r>
                <w:rPr>
                  <w:color w:val="1e198e"/>
                  <w:b w:val="1"/>
                  <w:bCs w:val="1"/>
                  <w:u w:val="single"/>
                </w:rPr>
                <w:t xml:space="preserve">Conditions de licéité de la géolocalisation des salariés</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2" w:history="1">
              <w:r>
                <w:rPr>
                  <w:color w:val="#410a8c"/>
                  <w:u w:val="single"/>
                </w:rPr>
                <w:t xml:space="preserve">hal-02504175v1</w:t>
              </w:r>
            </w:hyperlink>
          </w:p>
        </w:tc>
      </w:tr>
      <w:tr>
        <w:trPr/>
        <w:tc>
          <w:tcPr>
            <w:noWrap/>
          </w:tcPr>
          <w:p>
            <w:pPr>
              <w:spacing w:after="200"/>
            </w:pPr>
            <w:hyperlink r:id="rId63" w:history="1">
              <w:r>
                <w:rPr>
                  <w:color w:val="1e198e"/>
                  <w:b w:val="1"/>
                  <w:bCs w:val="1"/>
                  <w:u w:val="single"/>
                </w:rPr>
                <w:t xml:space="preserve">Décret du 28 novembre 2018 : abrogration des instructions et circulaires non publiées</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3" w:history="1">
              <w:r>
                <w:rPr>
                  <w:color w:val="#410a8c"/>
                  <w:u w:val="single"/>
                </w:rPr>
                <w:t xml:space="preserve">hal-02504173v1</w:t>
              </w:r>
            </w:hyperlink>
          </w:p>
        </w:tc>
      </w:tr>
      <w:tr>
        <w:trPr/>
        <w:tc>
          <w:tcPr>
            <w:noWrap/>
          </w:tcPr>
          <w:p>
            <w:pPr>
              <w:spacing w:after="200"/>
            </w:pPr>
            <w:hyperlink r:id="rId64" w:history="1">
              <w:r>
                <w:rPr>
                  <w:color w:val="1e198e"/>
                  <w:b w:val="1"/>
                  <w:bCs w:val="1"/>
                  <w:u w:val="single"/>
                </w:rPr>
                <w:t xml:space="preserve">Crédit d’impôt recherche pour les dépenses des entreprises industrielles liées à l’élaboration de nouvelles collections dans le secteur textile-habillement-cuir</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4" w:history="1">
              <w:r>
                <w:rPr>
                  <w:color w:val="#410a8c"/>
                  <w:u w:val="single"/>
                </w:rPr>
                <w:t xml:space="preserve">hal-02504169v1</w:t>
              </w:r>
            </w:hyperlink>
          </w:p>
        </w:tc>
      </w:tr>
      <w:tr>
        <w:trPr/>
        <w:tc>
          <w:tcPr>
            <w:noWrap/>
          </w:tcPr>
          <w:p>
            <w:pPr>
              <w:spacing w:after="200"/>
            </w:pPr>
            <w:hyperlink r:id="rId65" w:history="1">
              <w:r>
                <w:rPr>
                  <w:color w:val="1e198e"/>
                  <w:b w:val="1"/>
                  <w:bCs w:val="1"/>
                  <w:u w:val="single"/>
                </w:rPr>
                <w:t xml:space="preserve">Sécurité des données à caractère personnel accessibles sur un site internet : les nécessaires restrictions d’accès et audits de sécurité</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5" w:history="1">
              <w:r>
                <w:rPr>
                  <w:color w:val="#410a8c"/>
                  <w:u w:val="single"/>
                </w:rPr>
                <w:t xml:space="preserve">hal-02504147v1</w:t>
              </w:r>
            </w:hyperlink>
          </w:p>
        </w:tc>
      </w:tr>
      <w:tr>
        <w:trPr/>
        <w:tc>
          <w:tcPr>
            <w:noWrap/>
          </w:tcPr>
          <w:p>
            <w:pPr>
              <w:spacing w:after="200"/>
            </w:pPr>
            <w:hyperlink r:id="rId66" w:history="1">
              <w:r>
                <w:rPr>
                  <w:color w:val="1e198e"/>
                  <w:b w:val="1"/>
                  <w:bCs w:val="1"/>
                  <w:u w:val="single"/>
                </w:rPr>
                <w:t xml:space="preserve">Réglementation des services en ligne proposant des modes de règlement alternatif des différends : les apports de la loi du 23 mars 2019 de réforme pour la justice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6" w:history="1">
              <w:r>
                <w:rPr>
                  <w:color w:val="#410a8c"/>
                  <w:u w:val="single"/>
                </w:rPr>
                <w:t xml:space="preserve">hal-02504181v1</w:t>
              </w:r>
            </w:hyperlink>
          </w:p>
        </w:tc>
      </w:tr>
      <w:tr>
        <w:trPr/>
        <w:tc>
          <w:tcPr>
            <w:noWrap/>
          </w:tcPr>
          <w:p>
            <w:pPr>
              <w:spacing w:after="200"/>
            </w:pPr>
            <w:hyperlink r:id="rId67" w:history="1">
              <w:r>
                <w:rPr>
                  <w:color w:val="1e198e"/>
                  <w:b w:val="1"/>
                  <w:bCs w:val="1"/>
                  <w:u w:val="single"/>
                </w:rPr>
                <w:t xml:space="preserve">Sanction de la CNIL pour défaut de sécurité des données à caractère personnel : pas besoin de mise en demeure si l’incident est passé</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7" w:history="1">
              <w:r>
                <w:rPr>
                  <w:color w:val="#410a8c"/>
                  <w:u w:val="single"/>
                </w:rPr>
                <w:t xml:space="preserve">hal-02504157v1</w:t>
              </w:r>
            </w:hyperlink>
          </w:p>
        </w:tc>
      </w:tr>
      <w:tr>
        <w:trPr/>
        <w:tc>
          <w:tcPr>
            <w:noWrap/>
          </w:tcPr>
          <w:p>
            <w:pPr>
              <w:spacing w:after="200"/>
            </w:pPr>
            <w:hyperlink r:id="rId68" w:history="1">
              <w:r>
                <w:rPr>
                  <w:color w:val="1e198e"/>
                  <w:b w:val="1"/>
                  <w:bCs w:val="1"/>
                  <w:u w:val="single"/>
                </w:rPr>
                <w:t xml:space="preserve">Restructuration dans la fonction publique d’Etat : les dispositions protectrices des fonctionnaires issues de la loi du 6 août 2019 de transformation de la fonction publique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8" w:history="1">
              <w:r>
                <w:rPr>
                  <w:color w:val="#410a8c"/>
                  <w:u w:val="single"/>
                </w:rPr>
                <w:t xml:space="preserve">hal-02504265v1</w:t>
              </w:r>
            </w:hyperlink>
          </w:p>
        </w:tc>
      </w:tr>
      <w:tr>
        <w:trPr/>
        <w:tc>
          <w:tcPr>
            <w:noWrap/>
          </w:tcPr>
          <w:p>
            <w:pPr>
              <w:spacing w:after="200"/>
            </w:pPr>
            <w:hyperlink r:id="rId69" w:history="1">
              <w:r>
                <w:rPr>
                  <w:color w:val="1e198e"/>
                  <w:b w:val="1"/>
                  <w:bCs w:val="1"/>
                  <w:u w:val="single"/>
                </w:rPr>
                <w:t xml:space="preserve">Gmail n’est pas un service de communications électroniques au sens de la directive-cadre du 7 mars 2002</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9" w:history="1">
              <w:r>
                <w:rPr>
                  <w:color w:val="#410a8c"/>
                  <w:u w:val="single"/>
                </w:rPr>
                <w:t xml:space="preserve">hal-02504216v1</w:t>
              </w:r>
            </w:hyperlink>
          </w:p>
        </w:tc>
      </w:tr>
      <w:tr>
        <w:trPr/>
        <w:tc>
          <w:tcPr>
            <w:noWrap/>
          </w:tcPr>
          <w:p>
            <w:pPr>
              <w:spacing w:after="200"/>
            </w:pPr>
            <w:hyperlink r:id="rId70" w:history="1">
              <w:r>
                <w:rPr>
                  <w:color w:val="1e198e"/>
                  <w:b w:val="1"/>
                  <w:bCs w:val="1"/>
                  <w:u w:val="single"/>
                </w:rPr>
                <w:t xml:space="preserve">CJUE : la saveur d’un produit alimentaire n’est pas protégeable par le droit d’auteur</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70" w:history="1">
              <w:r>
                <w:rPr>
                  <w:color w:val="#410a8c"/>
                  <w:u w:val="single"/>
                </w:rPr>
                <w:t xml:space="preserve">hal-02504159v1</w:t>
              </w:r>
            </w:hyperlink>
          </w:p>
        </w:tc>
      </w:tr>
      <w:tr>
        <w:trPr/>
        <w:tc>
          <w:tcPr>
            <w:noWrap/>
          </w:tcPr>
          <w:p>
            <w:pPr>
              <w:spacing w:after="200"/>
            </w:pPr>
            <w:hyperlink r:id="rId71" w:history="1">
              <w:r>
                <w:rPr>
                  <w:color w:val="1e198e"/>
                  <w:b w:val="1"/>
                  <w:bCs w:val="1"/>
                  <w:u w:val="single"/>
                </w:rPr>
                <w:t xml:space="preserve">Le droit moral de l’artiste-interprète sur son oeuvre ne peut échapper aux héritiers légaux : une protection à double tranchant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1" w:history="1">
              <w:r>
                <w:rPr>
                  <w:color w:val="#410a8c"/>
                  <w:u w:val="single"/>
                </w:rPr>
                <w:t xml:space="preserve">hal-02504054v1</w:t>
              </w:r>
            </w:hyperlink>
          </w:p>
        </w:tc>
      </w:tr>
      <w:tr>
        <w:trPr/>
        <w:tc>
          <w:tcPr>
            <w:noWrap/>
          </w:tcPr>
          <w:p>
            <w:pPr>
              <w:spacing w:after="200"/>
            </w:pPr>
            <w:hyperlink r:id="rId72" w:history="1">
              <w:r>
                <w:rPr>
                  <w:color w:val="1e198e"/>
                  <w:b w:val="1"/>
                  <w:bCs w:val="1"/>
                  <w:u w:val="single"/>
                </w:rPr>
                <w:t xml:space="preserve">Les propos injurieux tenus par un groupe Facebook intitulé « extermination des directrices chieuses » ne présentent pas un caractère public, justifiant le licenciement, dès lors qu’il s’agit d’un groupe fermé de 14 personnes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2" w:history="1">
              <w:r>
                <w:rPr>
                  <w:color w:val="#410a8c"/>
                  <w:u w:val="single"/>
                </w:rPr>
                <w:t xml:space="preserve">hal-02504128v1</w:t>
              </w:r>
            </w:hyperlink>
          </w:p>
        </w:tc>
      </w:tr>
      <w:tr>
        <w:trPr/>
        <w:tc>
          <w:tcPr>
            <w:noWrap/>
          </w:tcPr>
          <w:p>
            <w:pPr>
              <w:spacing w:after="200"/>
            </w:pPr>
            <w:hyperlink r:id="rId73" w:history="1">
              <w:r>
                <w:rPr>
                  <w:color w:val="1e198e"/>
                  <w:b w:val="1"/>
                  <w:bCs w:val="1"/>
                  <w:u w:val="single"/>
                </w:rPr>
                <w:t xml:space="preserve">Photographie protégée par le droit d’auteur : communication à un public nouveau et consentement de l’auteur</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3" w:history="1">
              <w:r>
                <w:rPr>
                  <w:color w:val="#410a8c"/>
                  <w:u w:val="single"/>
                </w:rPr>
                <w:t xml:space="preserve">hal-02504121v1</w:t>
              </w:r>
            </w:hyperlink>
          </w:p>
        </w:tc>
      </w:tr>
      <w:tr>
        <w:trPr/>
        <w:tc>
          <w:tcPr>
            <w:noWrap/>
          </w:tcPr>
          <w:p>
            <w:pPr>
              <w:spacing w:after="200"/>
            </w:pPr>
            <w:hyperlink r:id="rId74" w:history="1">
              <w:r>
                <w:rPr>
                  <w:color w:val="1e198e"/>
                  <w:b w:val="1"/>
                  <w:bCs w:val="1"/>
                  <w:u w:val="single"/>
                </w:rPr>
                <w:t xml:space="preserve">Autonomie juridique des sociétés et responsabilité de la société mère vis-à-vis des salariés d’une filiale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4" w:history="1">
              <w:r>
                <w:rPr>
                  <w:color w:val="#410a8c"/>
                  <w:u w:val="single"/>
                </w:rPr>
                <w:t xml:space="preserve">hal-02504111v1</w:t>
              </w:r>
            </w:hyperlink>
          </w:p>
        </w:tc>
      </w:tr>
      <w:tr>
        <w:trPr/>
        <w:tc>
          <w:tcPr>
            <w:noWrap/>
          </w:tcPr>
          <w:p>
            <w:pPr>
              <w:spacing w:after="200"/>
            </w:pPr>
            <w:hyperlink r:id="rId75" w:history="1">
              <w:r>
                <w:rPr>
                  <w:color w:val="1e198e"/>
                  <w:b w:val="1"/>
                  <w:bCs w:val="1"/>
                  <w:u w:val="single"/>
                </w:rPr>
                <w:t xml:space="preserve">Caractère personnel : de nouvelles obligations à la charge des institutions organisatrices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5" w:history="1">
              <w:r>
                <w:rPr>
                  <w:color w:val="#410a8c"/>
                  <w:u w:val="single"/>
                </w:rPr>
                <w:t xml:space="preserve">hal-02504060v1</w:t>
              </w:r>
            </w:hyperlink>
          </w:p>
        </w:tc>
      </w:tr>
      <w:tr>
        <w:trPr/>
        <w:tc>
          <w:tcPr>
            <w:noWrap/>
          </w:tcPr>
          <w:p>
            <w:pPr>
              <w:spacing w:after="200"/>
            </w:pPr>
            <w:hyperlink r:id="rId76" w:history="1">
              <w:r>
                <w:rPr>
                  <w:color w:val="1e198e"/>
                  <w:b w:val="1"/>
                  <w:bCs w:val="1"/>
                  <w:u w:val="single"/>
                </w:rPr>
                <w:t xml:space="preserve">Droit à l’effacement des données personnelles figurant dans le TAJ : le juge judiciaire est compétent en cas de refus opposé par le Procureur de la République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6" w:history="1">
              <w:r>
                <w:rPr>
                  <w:color w:val="#410a8c"/>
                  <w:u w:val="single"/>
                </w:rPr>
                <w:t xml:space="preserve">hal-02504137v1</w:t>
              </w:r>
            </w:hyperlink>
          </w:p>
        </w:tc>
      </w:tr>
      <w:tr>
        <w:trPr/>
        <w:tc>
          <w:tcPr>
            <w:noWrap/>
          </w:tcPr>
          <w:p>
            <w:pPr>
              <w:spacing w:after="200"/>
            </w:pPr>
            <w:hyperlink r:id="rId77" w:history="1">
              <w:r>
                <w:rPr>
                  <w:color w:val="1e198e"/>
                  <w:b w:val="1"/>
                  <w:bCs w:val="1"/>
                  <w:u w:val="single"/>
                </w:rPr>
                <w:t xml:space="preserve">Mansuétude et bienveillance dans l’application du droit : le droit à l’erreur dans les relations entre le public et l’administration</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7" w:history="1">
              <w:r>
                <w:rPr>
                  <w:color w:val="#410a8c"/>
                  <w:u w:val="single"/>
                </w:rPr>
                <w:t xml:space="preserve">hal-02504129v1</w:t>
              </w:r>
            </w:hyperlink>
          </w:p>
        </w:tc>
      </w:tr>
      <w:tr>
        <w:trPr/>
        <w:tc>
          <w:tcPr>
            <w:noWrap/>
          </w:tcPr>
          <w:p>
            <w:pPr>
              <w:spacing w:after="200"/>
            </w:pPr>
            <w:hyperlink r:id="rId78" w:history="1">
              <w:r>
                <w:rPr>
                  <w:color w:val="1e198e"/>
                  <w:b w:val="1"/>
                  <w:bCs w:val="1"/>
                  <w:u w:val="single"/>
                </w:rPr>
                <w:t xml:space="preserve">Fichier automatisé des empreintes digitales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8" w:history="1">
              <w:r>
                <w:rPr>
                  <w:color w:val="#410a8c"/>
                  <w:u w:val="single"/>
                </w:rPr>
                <w:t xml:space="preserve">hal-02504104v1</w:t>
              </w:r>
            </w:hyperlink>
          </w:p>
        </w:tc>
      </w:tr>
      <w:tr>
        <w:trPr/>
        <w:tc>
          <w:tcPr>
            <w:noWrap/>
          </w:tcPr>
          <w:p>
            <w:pPr>
              <w:spacing w:after="200"/>
            </w:pPr>
            <w:hyperlink r:id="rId79" w:history="1">
              <w:r>
                <w:rPr>
                  <w:color w:val="1e198e"/>
                  <w:b w:val="1"/>
                  <w:bCs w:val="1"/>
                  <w:u w:val="single"/>
                </w:rPr>
                <w:t xml:space="preserve">Retour vers le futur : l’autorité de la chose jugée au pénal s’impose à la juridiction administrative même si elle lui est postérieure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9" w:history="1">
              <w:r>
                <w:rPr>
                  <w:color w:val="#410a8c"/>
                  <w:u w:val="single"/>
                </w:rPr>
                <w:t xml:space="preserve">hal-02504095v1</w:t>
              </w:r>
            </w:hyperlink>
          </w:p>
        </w:tc>
      </w:tr>
      <w:tr>
        <w:trPr/>
        <w:tc>
          <w:tcPr>
            <w:noWrap/>
          </w:tcPr>
          <w:p>
            <w:pPr>
              <w:spacing w:after="200"/>
            </w:pPr>
            <w:hyperlink r:id="rId80" w:history="1">
              <w:r>
                <w:rPr>
                  <w:color w:val="1e198e"/>
                  <w:b w:val="1"/>
                  <w:bCs w:val="1"/>
                  <w:u w:val="single"/>
                </w:rPr>
                <w:t xml:space="preserve">Open data des données de transport : une marche arrière avant la mise en place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0" w:history="1">
              <w:r>
                <w:rPr>
                  <w:color w:val="#410a8c"/>
                  <w:u w:val="single"/>
                </w:rPr>
                <w:t xml:space="preserve">hal-02504045v1</w:t>
              </w:r>
            </w:hyperlink>
          </w:p>
        </w:tc>
      </w:tr>
      <w:tr>
        <w:trPr/>
        <w:tc>
          <w:tcPr>
            <w:noWrap/>
          </w:tcPr>
          <w:p>
            <w:pPr>
              <w:spacing w:after="200"/>
            </w:pPr>
            <w:hyperlink r:id="rId81" w:history="1">
              <w:r>
                <w:rPr>
                  <w:color w:val="1e198e"/>
                  <w:b w:val="1"/>
                  <w:bCs w:val="1"/>
                  <w:u w:val="single"/>
                </w:rPr>
                <w:t xml:space="preserve">Vers un système de « crédit social » en Chine : « Bienvenue à Gattaca »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1" w:history="1">
              <w:r>
                <w:rPr>
                  <w:color w:val="#410a8c"/>
                  <w:u w:val="single"/>
                </w:rPr>
                <w:t xml:space="preserve">hal-02504123v1</w:t>
              </w:r>
            </w:hyperlink>
          </w:p>
        </w:tc>
      </w:tr>
      <w:tr>
        <w:trPr/>
        <w:tc>
          <w:tcPr>
            <w:noWrap/>
          </w:tcPr>
          <w:p>
            <w:pPr>
              <w:spacing w:after="200"/>
            </w:pPr>
            <w:hyperlink r:id="rId82" w:history="1">
              <w:r>
                <w:rPr>
                  <w:color w:val="1e198e"/>
                  <w:b w:val="1"/>
                  <w:bCs w:val="1"/>
                  <w:u w:val="single"/>
                </w:rPr>
                <w:t xml:space="preserve">Décision du Centre d’arbitrage et de médiation de l’OMPI ordonnant le transfert d’un nom de domaine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2" w:history="1">
              <w:r>
                <w:rPr>
                  <w:color w:val="#410a8c"/>
                  <w:u w:val="single"/>
                </w:rPr>
                <w:t xml:space="preserve">hal-02504028v1</w:t>
              </w:r>
            </w:hyperlink>
          </w:p>
        </w:tc>
      </w:tr>
      <w:tr>
        <w:trPr/>
        <w:tc>
          <w:tcPr>
            <w:noWrap/>
          </w:tcPr>
          <w:p>
            <w:pPr>
              <w:spacing w:after="200"/>
            </w:pPr>
            <w:hyperlink r:id="rId83" w:history="1">
              <w:r>
                <w:rPr>
                  <w:color w:val="1e198e"/>
                  <w:b w:val="1"/>
                  <w:bCs w:val="1"/>
                  <w:u w:val="single"/>
                </w:rPr>
                <w:t xml:space="preserve">Transcription des actes d’état-civil suite à une GPA réalisée à l’étranger : saisine de l’Assemblée plénière par la Cour de réexamen après une condamnation de la CEDH</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3" w:history="1">
              <w:r>
                <w:rPr>
                  <w:color w:val="#410a8c"/>
                  <w:u w:val="single"/>
                </w:rPr>
                <w:t xml:space="preserve">hal-02504087v1</w:t>
              </w:r>
            </w:hyperlink>
          </w:p>
        </w:tc>
      </w:tr>
      <w:tr>
        <w:trPr/>
        <w:tc>
          <w:tcPr>
            <w:noWrap/>
          </w:tcPr>
          <w:p>
            <w:pPr>
              <w:spacing w:after="200"/>
            </w:pPr>
            <w:hyperlink r:id="rId84" w:history="1">
              <w:r>
                <w:rPr>
                  <w:color w:val="1e198e"/>
                  <w:b w:val="1"/>
                  <w:bCs w:val="1"/>
                  <w:u w:val="single"/>
                </w:rPr>
                <w:t xml:space="preserve">Licéité des Blockchain comportant des données à caractère personnel au regard du RGPD</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4" w:history="1">
              <w:r>
                <w:rPr>
                  <w:color w:val="#410a8c"/>
                  <w:u w:val="single"/>
                </w:rPr>
                <w:t xml:space="preserve">hal-02504134v1</w:t>
              </w:r>
            </w:hyperlink>
          </w:p>
        </w:tc>
      </w:tr>
      <w:tr>
        <w:trPr/>
        <w:tc>
          <w:tcPr>
            <w:noWrap/>
          </w:tcPr>
          <w:p>
            <w:pPr>
              <w:spacing w:after="200"/>
            </w:pPr>
            <w:hyperlink r:id="rId85" w:history="1">
              <w:r>
                <w:rPr>
                  <w:color w:val="1e198e"/>
                  <w:b w:val="1"/>
                  <w:bCs w:val="1"/>
                  <w:u w:val="single"/>
                </w:rPr>
                <w:t xml:space="preserve">L’extra-territorialité du CLOUD Act américain : une menace pour le respect des réglementations européennes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5" w:history="1">
              <w:r>
                <w:rPr>
                  <w:color w:val="#410a8c"/>
                  <w:u w:val="single"/>
                </w:rPr>
                <w:t xml:space="preserve">hal-02504124v1</w:t>
              </w:r>
            </w:hyperlink>
          </w:p>
        </w:tc>
      </w:tr>
      <w:tr>
        <w:trPr/>
        <w:tc>
          <w:tcPr>
            <w:noWrap/>
          </w:tcPr>
          <w:p>
            <w:pPr>
              <w:spacing w:after="200"/>
            </w:pPr>
            <w:hyperlink r:id="rId86" w:history="1">
              <w:r>
                <w:rPr>
                  <w:color w:val="1e198e"/>
                  <w:b w:val="1"/>
                  <w:bCs w:val="1"/>
                  <w:u w:val="single"/>
                </w:rPr>
                <w:t xml:space="preserve">L’Open Data dans les marchés publics d’au moins 25.000 euros : la notion de « données essentielles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6" w:history="1">
              <w:r>
                <w:rPr>
                  <w:color w:val="#410a8c"/>
                  <w:u w:val="single"/>
                </w:rPr>
                <w:t xml:space="preserve">hal-02504139v1</w:t>
              </w:r>
            </w:hyperlink>
          </w:p>
        </w:tc>
      </w:tr>
      <w:tr>
        <w:trPr/>
        <w:tc>
          <w:tcPr>
            <w:noWrap/>
          </w:tcPr>
          <w:p>
            <w:pPr>
              <w:spacing w:after="200"/>
            </w:pPr>
            <w:hyperlink r:id="rId87" w:history="1">
              <w:r>
                <w:rPr>
                  <w:color w:val="1e198e"/>
                  <w:b w:val="1"/>
                  <w:bCs w:val="1"/>
                  <w:u w:val="single"/>
                </w:rPr>
                <w:t xml:space="preserve">Application de la réglementation sur les données personnelles à l’activité de prédication des témoins de Jéhova et coresponsabilité de la communauté et de ses membres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7" w:history="1">
              <w:r>
                <w:rPr>
                  <w:color w:val="#410a8c"/>
                  <w:u w:val="single"/>
                </w:rPr>
                <w:t xml:space="preserve">hal-02504119v1</w:t>
              </w:r>
            </w:hyperlink>
          </w:p>
        </w:tc>
      </w:tr>
      <w:tr>
        <w:trPr/>
        <w:tc>
          <w:tcPr>
            <w:noWrap/>
          </w:tcPr>
          <w:p>
            <w:pPr>
              <w:spacing w:after="200"/>
            </w:pPr>
            <w:hyperlink r:id="rId88" w:history="1">
              <w:r>
                <w:rPr>
                  <w:color w:val="1e198e"/>
                  <w:b w:val="1"/>
                  <w:bCs w:val="1"/>
                  <w:u w:val="single"/>
                </w:rPr>
                <w:t xml:space="preserve">Les copies d’examen manuscrites, comme les annotations des examinateurs, constituent des données à caractère personnel</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8" w:history="1">
              <w:r>
                <w:rPr>
                  <w:color w:val="#410a8c"/>
                  <w:u w:val="single"/>
                </w:rPr>
                <w:t xml:space="preserve">hal-02504056v1</w:t>
              </w:r>
            </w:hyperlink>
          </w:p>
        </w:tc>
      </w:tr>
      <w:tr>
        <w:trPr/>
        <w:tc>
          <w:tcPr>
            <w:noWrap/>
          </w:tcPr>
          <w:p>
            <w:pPr>
              <w:spacing w:after="200"/>
            </w:pPr>
            <w:hyperlink r:id="rId89" w:history="1">
              <w:r>
                <w:rPr>
                  <w:color w:val="1e198e"/>
                  <w:b w:val="1"/>
                  <w:bCs w:val="1"/>
                  <w:u w:val="single"/>
                </w:rPr>
                <w:t xml:space="preserve">Une norme ne peut être rendue obligatoire que si son accès est gratuit</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9" w:history="1">
              <w:r>
                <w:rPr>
                  <w:color w:val="#410a8c"/>
                  <w:u w:val="single"/>
                </w:rPr>
                <w:t xml:space="preserve">hal-02504039v1</w:t>
              </w:r>
            </w:hyperlink>
          </w:p>
        </w:tc>
      </w:tr>
      <w:tr>
        <w:trPr/>
        <w:tc>
          <w:tcPr>
            <w:noWrap/>
          </w:tcPr>
          <w:p>
            <w:pPr>
              <w:spacing w:after="200"/>
            </w:pPr>
            <w:hyperlink r:id="rId90" w:history="1">
              <w:r>
                <w:rPr>
                  <w:color w:val="1e198e"/>
                  <w:b w:val="1"/>
                  <w:bCs w:val="1"/>
                  <w:u w:val="single"/>
                </w:rPr>
                <w:t xml:space="preserve">Cybersécurité : les obligations des « opérateurs de services essentiels » (OSE) issues de la loi du 26 février 2018 transposant la directive NIS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0" w:history="1">
              <w:r>
                <w:rPr>
                  <w:color w:val="#410a8c"/>
                  <w:u w:val="single"/>
                </w:rPr>
                <w:t xml:space="preserve">hal-02504080v1</w:t>
              </w:r>
            </w:hyperlink>
          </w:p>
        </w:tc>
      </w:tr>
      <w:tr>
        <w:trPr/>
        <w:tc>
          <w:tcPr>
            <w:noWrap/>
          </w:tcPr>
          <w:p>
            <w:pPr>
              <w:spacing w:after="200"/>
            </w:pPr>
            <w:hyperlink r:id="rId91" w:history="1">
              <w:r>
                <w:rPr>
                  <w:color w:val="1e198e"/>
                  <w:b w:val="1"/>
                  <w:bCs w:val="1"/>
                  <w:u w:val="single"/>
                </w:rPr>
                <w:t xml:space="preserve">Modification du Code de gouvernance Afep-Medef : l’élargissement des responsabilités du Conseil d’Administration</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1" w:history="1">
              <w:r>
                <w:rPr>
                  <w:color w:val="#410a8c"/>
                  <w:u w:val="single"/>
                </w:rPr>
                <w:t xml:space="preserve">hal-02504116v1</w:t>
              </w:r>
            </w:hyperlink>
          </w:p>
        </w:tc>
      </w:tr>
      <w:tr>
        <w:trPr/>
        <w:tc>
          <w:tcPr>
            <w:noWrap/>
          </w:tcPr>
          <w:p>
            <w:pPr>
              <w:spacing w:after="200"/>
            </w:pPr>
            <w:hyperlink r:id="rId92" w:history="1">
              <w:r>
                <w:rPr>
                  <w:color w:val="1e198e"/>
                  <w:b w:val="1"/>
                  <w:bCs w:val="1"/>
                  <w:u w:val="single"/>
                </w:rPr>
                <w:t xml:space="preserve">Extension aux particuliers du contrôle fiscal par datamining</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2" w:history="1">
              <w:r>
                <w:rPr>
                  <w:color w:val="#410a8c"/>
                  <w:u w:val="single"/>
                </w:rPr>
                <w:t xml:space="preserve">hal-02504035v1</w:t>
              </w:r>
            </w:hyperlink>
          </w:p>
        </w:tc>
      </w:tr>
      <w:tr>
        <w:trPr/>
        <w:tc>
          <w:tcPr>
            <w:noWrap/>
          </w:tcPr>
          <w:p>
            <w:pPr>
              <w:spacing w:after="200"/>
            </w:pPr>
            <w:hyperlink r:id="rId93" w:history="1">
              <w:r>
                <w:rPr>
                  <w:color w:val="1e198e"/>
                  <w:b w:val="1"/>
                  <w:bCs w:val="1"/>
                  <w:u w:val="single"/>
                </w:rPr>
                <w:t xml:space="preserve">A quoi « sert » la réserve héréditaire ? Réflexions consécutives au testament de Johnny Hallyday</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3" w:history="1">
              <w:r>
                <w:rPr>
                  <w:color w:val="#410a8c"/>
                  <w:u w:val="single"/>
                </w:rPr>
                <w:t xml:space="preserve">hal-02504049v1</w:t>
              </w:r>
            </w:hyperlink>
          </w:p>
        </w:tc>
      </w:tr>
      <w:tr>
        <w:trPr/>
        <w:tc>
          <w:tcPr>
            <w:noWrap/>
          </w:tcPr>
          <w:p>
            <w:pPr>
              <w:spacing w:after="200"/>
            </w:pPr>
            <w:hyperlink r:id="rId94" w:history="1">
              <w:r>
                <w:rPr>
                  <w:color w:val="1e198e"/>
                  <w:b w:val="1"/>
                  <w:bCs w:val="1"/>
                  <w:u w:val="single"/>
                </w:rPr>
                <w:t xml:space="preserve">L’exception de nullité d’un acte de procédure doit être soulevé avant toute défense au fond</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4" w:history="1">
              <w:r>
                <w:rPr>
                  <w:color w:val="#410a8c"/>
                  <w:u w:val="single"/>
                </w:rPr>
                <w:t xml:space="preserve">hal-02504091v1</w:t>
              </w:r>
            </w:hyperlink>
          </w:p>
        </w:tc>
      </w:tr>
      <w:tr>
        <w:trPr/>
        <w:tc>
          <w:tcPr>
            <w:noWrap/>
          </w:tcPr>
          <w:p>
            <w:pPr>
              <w:spacing w:after="200"/>
            </w:pPr>
            <w:hyperlink r:id="rId95" w:history="1">
              <w:r>
                <w:rPr>
                  <w:color w:val="1e198e"/>
                  <w:b w:val="1"/>
                  <w:bCs w:val="1"/>
                  <w:u w:val="single"/>
                </w:rPr>
                <w:t xml:space="preserve">Réforme des modalités de participation des associés aux décisions collectives dans les SA non cotées : les conditions du recours exclusif à la visioconférence ou autres moyens de télécommunication</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5" w:history="1">
              <w:r>
                <w:rPr>
                  <w:color w:val="#410a8c"/>
                  <w:u w:val="single"/>
                </w:rPr>
                <w:t xml:space="preserve">hal-02504072v1</w:t>
              </w:r>
            </w:hyperlink>
          </w:p>
        </w:tc>
      </w:tr>
      <w:tr>
        <w:trPr/>
        <w:tc>
          <w:tcPr>
            <w:noWrap/>
          </w:tcPr>
          <w:p>
            <w:pPr>
              <w:spacing w:after="200"/>
            </w:pPr>
            <w:hyperlink r:id="rId96" w:history="1">
              <w:r>
                <w:rPr>
                  <w:color w:val="1e198e"/>
                  <w:b w:val="1"/>
                  <w:bCs w:val="1"/>
                  <w:u w:val="single"/>
                </w:rPr>
                <w:t xml:space="preserve">Blockchain et RGPD : Répartition des rôles et responsabilités dans une Blockchain au regard du RGPD, la difficile identification des responsables de traitement et des sous-traitants et les premiers éléments d’analyse de la CNIL</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6" w:history="1">
              <w:r>
                <w:rPr>
                  <w:color w:val="#410a8c"/>
                  <w:u w:val="single"/>
                </w:rPr>
                <w:t xml:space="preserve">hal-02504132v1</w:t>
              </w:r>
            </w:hyperlink>
          </w:p>
        </w:tc>
      </w:tr>
      <w:tr>
        <w:trPr/>
        <w:tc>
          <w:tcPr>
            <w:noWrap/>
          </w:tcPr>
          <w:p>
            <w:pPr>
              <w:spacing w:after="200"/>
            </w:pPr>
            <w:hyperlink r:id="rId97" w:history="1">
              <w:r>
                <w:rPr>
                  <w:color w:val="1e198e"/>
                  <w:b w:val="1"/>
                  <w:bCs w:val="1"/>
                  <w:u w:val="single"/>
                </w:rPr>
                <w:t xml:space="preserve">La liberté d’établissement permet à une société de transférer son siège statutaire dans un autre état membre sans avoir à se dissoudre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7" w:history="1">
              <w:r>
                <w:rPr>
                  <w:color w:val="#410a8c"/>
                  <w:u w:val="single"/>
                </w:rPr>
                <w:t xml:space="preserve">hal-02504065v1</w:t>
              </w:r>
            </w:hyperlink>
          </w:p>
        </w:tc>
      </w:tr>
      <w:tr>
        <w:trPr/>
        <w:tc>
          <w:tcPr>
            <w:noWrap/>
          </w:tcPr>
          <w:p>
            <w:pPr>
              <w:spacing w:after="200"/>
            </w:pPr>
            <w:hyperlink r:id="rId98" w:history="1">
              <w:r>
                <w:rPr>
                  <w:color w:val="1e198e"/>
                  <w:b w:val="1"/>
                  <w:bCs w:val="1"/>
                  <w:u w:val="single"/>
                </w:rPr>
                <w:t xml:space="preserve">Décès de l’adoptant au cours de la procédure d’adoption et respect du contradictoire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8" w:history="1">
              <w:r>
                <w:rPr>
                  <w:color w:val="#410a8c"/>
                  <w:u w:val="single"/>
                </w:rPr>
                <w:t xml:space="preserve">hal-02504109v1</w:t>
              </w:r>
            </w:hyperlink>
          </w:p>
        </w:tc>
      </w:tr>
      <w:tr>
        <w:trPr/>
        <w:tc>
          <w:tcPr>
            <w:noWrap/>
          </w:tcPr>
          <w:p>
            <w:pPr>
              <w:spacing w:after="200"/>
            </w:pPr>
            <w:hyperlink r:id="rId99" w:history="1">
              <w:r>
                <w:rPr>
                  <w:color w:val="1e198e"/>
                  <w:b w:val="1"/>
                  <w:bCs w:val="1"/>
                  <w:u w:val="single"/>
                </w:rPr>
                <w:t xml:space="preserve">Cybersécurité : les obligations des fournisseurs de services numériques issues de la loi du 26 février 2018 transposant la directive NIS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9" w:history="1">
              <w:r>
                <w:rPr>
                  <w:color w:val="#410a8c"/>
                  <w:u w:val="single"/>
                </w:rPr>
                <w:t xml:space="preserve">hal-02504084v1</w:t>
              </w:r>
            </w:hyperlink>
          </w:p>
        </w:tc>
      </w:tr>
      <w:tr>
        <w:trPr/>
        <w:tc>
          <w:tcPr>
            <w:noWrap/>
          </w:tcPr>
          <w:p>
            <w:pPr>
              <w:spacing w:after="200"/>
            </w:pPr>
            <w:hyperlink r:id="rId100" w:history="1">
              <w:r>
                <w:rPr>
                  <w:color w:val="1e198e"/>
                  <w:b w:val="1"/>
                  <w:bCs w:val="1"/>
                  <w:u w:val="single"/>
                </w:rPr>
                <w:t xml:space="preserve">L’Open Data dans les marchés publics d’au moins 25.000 euros : Où publier les données essentielles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0" w:history="1">
              <w:r>
                <w:rPr>
                  <w:color w:val="#410a8c"/>
                  <w:u w:val="single"/>
                </w:rPr>
                <w:t xml:space="preserve">hal-02504144v1</w:t>
              </w:r>
            </w:hyperlink>
          </w:p>
        </w:tc>
      </w:tr>
      <w:tr>
        <w:trPr/>
        <w:tc>
          <w:tcPr>
            <w:noWrap/>
          </w:tcPr>
          <w:p>
            <w:pPr>
              <w:spacing w:after="200"/>
            </w:pPr>
            <w:hyperlink r:id="rId101" w:history="1">
              <w:r>
                <w:rPr>
                  <w:color w:val="1e198e"/>
                  <w:b w:val="1"/>
                  <w:bCs w:val="1"/>
                  <w:u w:val="single"/>
                </w:rPr>
                <w:t xml:space="preserve">Le rôle du Centre d’arbitrage et de médiation de l’OMPI</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1" w:history="1">
              <w:r>
                <w:rPr>
                  <w:color w:val="#410a8c"/>
                  <w:u w:val="single"/>
                </w:rPr>
                <w:t xml:space="preserve">hal-02503880v1</w:t>
              </w:r>
            </w:hyperlink>
          </w:p>
        </w:tc>
      </w:tr>
      <w:tr>
        <w:trPr/>
        <w:tc>
          <w:tcPr>
            <w:noWrap/>
          </w:tcPr>
          <w:p>
            <w:pPr>
              <w:spacing w:after="200"/>
            </w:pPr>
            <w:hyperlink r:id="rId102" w:history="1">
              <w:r>
                <w:rPr>
                  <w:color w:val="1e198e"/>
                  <w:b w:val="1"/>
                  <w:bCs w:val="1"/>
                  <w:u w:val="single"/>
                </w:rPr>
                <w:t xml:space="preserve">Réforme des modalités de participation des associés aux décisions collectives dans les SARL : décret du 28 février 2018, applicable aux assemblées convoquées à partir du 1er avril 2018</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2" w:history="1">
              <w:r>
                <w:rPr>
                  <w:color w:val="#410a8c"/>
                  <w:u w:val="single"/>
                </w:rPr>
                <w:t xml:space="preserve">hal-02504070v1</w:t>
              </w:r>
            </w:hyperlink>
          </w:p>
        </w:tc>
      </w:tr>
      <w:tr>
        <w:trPr/>
        <w:tc>
          <w:tcPr>
            <w:noWrap/>
          </w:tcPr>
          <w:p>
            <w:pPr>
              <w:spacing w:after="200"/>
            </w:pPr>
            <w:hyperlink r:id="rId103" w:history="1">
              <w:r>
                <w:rPr>
                  <w:color w:val="1e198e"/>
                  <w:b w:val="1"/>
                  <w:bCs w:val="1"/>
                  <w:u w:val="single"/>
                </w:rPr>
                <w:t xml:space="preserve">Déréférencement : l’exigence de mise en balance des intérêts en jeu interdit toute injonction d’ordre général</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3" w:history="1">
              <w:r>
                <w:rPr>
                  <w:color w:val="#410a8c"/>
                  <w:u w:val="single"/>
                </w:rPr>
                <w:t xml:space="preserve">hal-02504074v1</w:t>
              </w:r>
            </w:hyperlink>
          </w:p>
        </w:tc>
      </w:tr>
      <w:tr>
        <w:trPr/>
        <w:tc>
          <w:tcPr>
            <w:noWrap/>
          </w:tcPr>
          <w:p>
            <w:pPr>
              <w:spacing w:after="200"/>
            </w:pPr>
            <w:hyperlink r:id="rId104" w:history="1">
              <w:r>
                <w:rPr>
                  <w:color w:val="1e198e"/>
                  <w:b w:val="1"/>
                  <w:bCs w:val="1"/>
                  <w:u w:val="single"/>
                </w:rPr>
                <w:t xml:space="preserve">Cybersécurité : adoption de la loi du 26 février 2018 transposant la directive NIS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4" w:history="1">
              <w:r>
                <w:rPr>
                  <w:color w:val="#410a8c"/>
                  <w:u w:val="single"/>
                </w:rPr>
                <w:t xml:space="preserve">hal-02504076v1</w:t>
              </w:r>
            </w:hyperlink>
          </w:p>
        </w:tc>
      </w:tr>
      <w:tr>
        <w:trPr/>
        <w:tc>
          <w:tcPr>
            <w:noWrap/>
          </w:tcPr>
          <w:p>
            <w:pPr>
              <w:spacing w:after="200"/>
            </w:pPr>
            <w:hyperlink r:id="rId105" w:history="1">
              <w:r>
                <w:rPr>
                  <w:color w:val="1e198e"/>
                  <w:b w:val="1"/>
                  <w:bCs w:val="1"/>
                  <w:u w:val="single"/>
                </w:rPr>
                <w:t xml:space="preserve">UberPOP est « un service dans le domaine des transports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5" w:history="1">
              <w:r>
                <w:rPr>
                  <w:color w:val="#410a8c"/>
                  <w:u w:val="single"/>
                </w:rPr>
                <w:t xml:space="preserve">hal-02504043v1</w:t>
              </w:r>
            </w:hyperlink>
          </w:p>
        </w:tc>
      </w:tr>
      <w:tr>
        <w:trPr/>
        <w:tc>
          <w:tcPr>
            <w:noWrap/>
          </w:tcPr>
          <w:p>
            <w:pPr>
              <w:spacing w:after="200"/>
            </w:pPr>
            <w:hyperlink r:id="rId106" w:history="1">
              <w:r>
                <w:rPr>
                  <w:color w:val="1e198e"/>
                  <w:b w:val="1"/>
                  <w:bCs w:val="1"/>
                  <w:u w:val="single"/>
                </w:rPr>
                <w:t xml:space="preserve">Prélèvement sur un compte bancaire après un hameçonnage : la négligence grave du client doit être prouvée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6" w:history="1">
              <w:r>
                <w:rPr>
                  <w:color w:val="#410a8c"/>
                  <w:u w:val="single"/>
                </w:rPr>
                <w:t xml:space="preserve">hal-02504136v1</w:t>
              </w:r>
            </w:hyperlink>
          </w:p>
        </w:tc>
      </w:tr>
      <w:tr>
        <w:trPr/>
        <w:tc>
          <w:tcPr>
            <w:noWrap/>
          </w:tcPr>
          <w:p>
            <w:pPr>
              <w:spacing w:after="200"/>
            </w:pPr>
            <w:hyperlink r:id="rId107" w:history="1">
              <w:r>
                <w:rPr>
                  <w:color w:val="1e198e"/>
                  <w:b w:val="1"/>
                  <w:bCs w:val="1"/>
                  <w:u w:val="single"/>
                </w:rPr>
                <w:t xml:space="preserve">La rémunération du gérant d’une SELARL est dûe même lorsque celui-ci est en arrêt maladie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7" w:history="1">
              <w:r>
                <w:rPr>
                  <w:color w:val="#410a8c"/>
                  <w:u w:val="single"/>
                </w:rPr>
                <w:t xml:space="preserve">hal-02503832v1</w:t>
              </w:r>
            </w:hyperlink>
          </w:p>
        </w:tc>
      </w:tr>
      <w:tr>
        <w:trPr/>
        <w:tc>
          <w:tcPr>
            <w:noWrap/>
          </w:tcPr>
          <w:p>
            <w:pPr>
              <w:spacing w:after="200"/>
            </w:pPr>
            <w:hyperlink r:id="rId108" w:history="1">
              <w:r>
                <w:rPr>
                  <w:color w:val="1e198e"/>
                  <w:b w:val="1"/>
                  <w:bCs w:val="1"/>
                  <w:u w:val="single"/>
                </w:rPr>
                <w:t xml:space="preserve">Loi du 8 août 2016 pour la reconquête de la biodiversité, de la nature et des paysages : la création des obligations réelles environnementales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8" w:history="1">
              <w:r>
                <w:rPr>
                  <w:color w:val="#410a8c"/>
                  <w:u w:val="single"/>
                </w:rPr>
                <w:t xml:space="preserve">hal-02503068v1</w:t>
              </w:r>
            </w:hyperlink>
          </w:p>
        </w:tc>
      </w:tr>
      <w:tr>
        <w:trPr/>
        <w:tc>
          <w:tcPr>
            <w:noWrap/>
          </w:tcPr>
          <w:p>
            <w:pPr>
              <w:spacing w:after="200"/>
            </w:pPr>
            <w:hyperlink r:id="rId109" w:history="1">
              <w:r>
                <w:rPr>
                  <w:color w:val="1e198e"/>
                  <w:b w:val="1"/>
                  <w:bCs w:val="1"/>
                  <w:u w:val="single"/>
                </w:rPr>
                <w:t xml:space="preserve">Refonte de la partie législative du Code de la consommation par l’ordonnance du 14 mars 2016</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9" w:history="1">
              <w:r>
                <w:rPr>
                  <w:color w:val="#410a8c"/>
                  <w:u w:val="single"/>
                </w:rPr>
                <w:t xml:space="preserve">hal-02503112v1</w:t>
              </w:r>
            </w:hyperlink>
          </w:p>
        </w:tc>
      </w:tr>
      <w:tr>
        <w:trPr/>
        <w:tc>
          <w:tcPr>
            <w:noWrap/>
          </w:tcPr>
          <w:p>
            <w:pPr>
              <w:spacing w:after="200"/>
            </w:pPr>
            <w:hyperlink r:id="rId110" w:history="1">
              <w:r>
                <w:rPr>
                  <w:color w:val="1e198e"/>
                  <w:b w:val="1"/>
                  <w:bCs w:val="1"/>
                  <w:u w:val="single"/>
                </w:rPr>
                <w:t xml:space="preserve">Pas de consultation, par un avocat, de la messagerie personnelle de sa collaboratrice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0" w:history="1">
              <w:r>
                <w:rPr>
                  <w:color w:val="#410a8c"/>
                  <w:u w:val="single"/>
                </w:rPr>
                <w:t xml:space="preserve">hal-02503829v1</w:t>
              </w:r>
            </w:hyperlink>
          </w:p>
        </w:tc>
      </w:tr>
      <w:tr>
        <w:trPr/>
        <w:tc>
          <w:tcPr>
            <w:noWrap/>
          </w:tcPr>
          <w:p>
            <w:pPr>
              <w:spacing w:after="200"/>
            </w:pPr>
            <w:hyperlink r:id="rId111" w:history="1">
              <w:r>
                <w:rPr>
                  <w:color w:val="1e198e"/>
                  <w:b w:val="1"/>
                  <w:bCs w:val="1"/>
                  <w:u w:val="single"/>
                </w:rPr>
                <w:t xml:space="preserve">La notion d’anonymisation des données à caractère personnel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1" w:history="1">
              <w:r>
                <w:rPr>
                  <w:color w:val="#410a8c"/>
                  <w:u w:val="single"/>
                </w:rPr>
                <w:t xml:space="preserve">hal-02503850v1</w:t>
              </w:r>
            </w:hyperlink>
          </w:p>
        </w:tc>
      </w:tr>
      <w:tr>
        <w:trPr/>
        <w:tc>
          <w:tcPr>
            <w:noWrap/>
          </w:tcPr>
          <w:p>
            <w:pPr>
              <w:spacing w:after="200"/>
            </w:pPr>
            <w:hyperlink r:id="rId112" w:history="1">
              <w:r>
                <w:rPr>
                  <w:color w:val="1e198e"/>
                  <w:b w:val="1"/>
                  <w:bCs w:val="1"/>
                  <w:u w:val="single"/>
                </w:rPr>
                <w:t xml:space="preserve">Le nouveau régime des indemnités légales de licenciement et les échappatoires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2" w:history="1">
              <w:r>
                <w:rPr>
                  <w:color w:val="#410a8c"/>
                  <w:u w:val="single"/>
                </w:rPr>
                <w:t xml:space="preserve">hal-02503864v1</w:t>
              </w:r>
            </w:hyperlink>
          </w:p>
        </w:tc>
      </w:tr>
      <w:tr>
        <w:trPr/>
        <w:tc>
          <w:tcPr>
            <w:noWrap/>
          </w:tcPr>
          <w:p>
            <w:pPr>
              <w:spacing w:after="200"/>
            </w:pPr>
            <w:hyperlink r:id="rId113" w:history="1">
              <w:r>
                <w:rPr>
                  <w:color w:val="1e198e"/>
                  <w:b w:val="1"/>
                  <w:bCs w:val="1"/>
                  <w:u w:val="single"/>
                </w:rPr>
                <w:t xml:space="preserve">La notion de collecte « indirecte » des données personnelles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3" w:history="1">
              <w:r>
                <w:rPr>
                  <w:color w:val="#410a8c"/>
                  <w:u w:val="single"/>
                </w:rPr>
                <w:t xml:space="preserve">hal-02503853v1</w:t>
              </w:r>
            </w:hyperlink>
          </w:p>
        </w:tc>
      </w:tr>
      <w:tr>
        <w:trPr/>
        <w:tc>
          <w:tcPr>
            <w:noWrap/>
          </w:tcPr>
          <w:p>
            <w:pPr>
              <w:spacing w:after="200"/>
            </w:pPr>
            <w:hyperlink r:id="rId114" w:history="1">
              <w:r>
                <w:rPr>
                  <w:color w:val="1e198e"/>
                  <w:b w:val="1"/>
                  <w:bCs w:val="1"/>
                  <w:u w:val="single"/>
                </w:rPr>
                <w:t xml:space="preserve">Entre sanction pénale et sanction disciplinaire, il faut choisir (1): le cas des atteintes à la transparence des marchés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4" w:history="1">
              <w:r>
                <w:rPr>
                  <w:color w:val="#410a8c"/>
                  <w:u w:val="single"/>
                </w:rPr>
                <w:t xml:space="preserve">hal-02503859v1</w:t>
              </w:r>
            </w:hyperlink>
          </w:p>
        </w:tc>
      </w:tr>
      <w:tr>
        <w:trPr/>
        <w:tc>
          <w:tcPr>
            <w:noWrap/>
          </w:tcPr>
          <w:p>
            <w:pPr>
              <w:spacing w:after="200"/>
            </w:pPr>
            <w:hyperlink r:id="rId115" w:history="1">
              <w:r>
                <w:rPr>
                  <w:color w:val="1e198e"/>
                  <w:b w:val="1"/>
                  <w:bCs w:val="1"/>
                  <w:u w:val="single"/>
                </w:rPr>
                <w:t xml:space="preserve">Ordonnance Macron sur la négociation collective : les principes d’articulation entre les accords de branche et les accords d’entreprise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5" w:history="1">
              <w:r>
                <w:rPr>
                  <w:color w:val="#410a8c"/>
                  <w:u w:val="single"/>
                </w:rPr>
                <w:t xml:space="preserve">hal-02503871v1</w:t>
              </w:r>
            </w:hyperlink>
          </w:p>
        </w:tc>
      </w:tr>
      <w:tr>
        <w:trPr/>
        <w:tc>
          <w:tcPr>
            <w:noWrap/>
          </w:tcPr>
          <w:p>
            <w:pPr>
              <w:spacing w:after="200"/>
            </w:pPr>
            <w:hyperlink r:id="rId116" w:history="1">
              <w:r>
                <w:rPr>
                  <w:color w:val="1e198e"/>
                  <w:b w:val="1"/>
                  <w:bCs w:val="1"/>
                  <w:u w:val="single"/>
                </w:rPr>
                <w:t xml:space="preserve">La SNCF est tenue d’une obligation de ponctualité de résultat dont elle ne peut s’exonérer que par la preuve d’une cause étrangère ne pouvant lui être imputée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6" w:history="1">
              <w:r>
                <w:rPr>
                  <w:color w:val="#410a8c"/>
                  <w:u w:val="single"/>
                </w:rPr>
                <w:t xml:space="preserve">hal-02503118v1</w:t>
              </w:r>
            </w:hyperlink>
          </w:p>
        </w:tc>
      </w:tr>
      <w:tr>
        <w:trPr/>
        <w:tc>
          <w:tcPr>
            <w:noWrap/>
          </w:tcPr>
          <w:p>
            <w:pPr>
              <w:spacing w:after="200"/>
            </w:pPr>
            <w:hyperlink r:id="rId117" w:history="1">
              <w:r>
                <w:rPr>
                  <w:color w:val="1e198e"/>
                  <w:b w:val="1"/>
                  <w:bCs w:val="1"/>
                  <w:u w:val="single"/>
                </w:rPr>
                <w:t xml:space="preserve">Loi du 7 octobre 2016 pour une République numérique : jalons vers une dématérialisation des processus de réalisation des ventes immobilières (et des ventes de fonds de commerce) ainsi que de nombreux contrats y afférents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7" w:history="1">
              <w:r>
                <w:rPr>
                  <w:color w:val="#410a8c"/>
                  <w:u w:val="single"/>
                </w:rPr>
                <w:t xml:space="preserve">hal-02503098v1</w:t>
              </w:r>
            </w:hyperlink>
          </w:p>
        </w:tc>
      </w:tr>
      <w:tr>
        <w:trPr/>
        <w:tc>
          <w:tcPr>
            <w:noWrap/>
          </w:tcPr>
          <w:p>
            <w:pPr>
              <w:spacing w:after="200"/>
            </w:pPr>
            <w:hyperlink r:id="rId118" w:history="1">
              <w:r>
                <w:rPr>
                  <w:color w:val="1e198e"/>
                  <w:b w:val="1"/>
                  <w:bCs w:val="1"/>
                  <w:u w:val="single"/>
                </w:rPr>
                <w:t xml:space="preserve">Locations immobilières développées par l’économie collaborative (Airbnb, etc.) (1) : nouvelles obligations issues de la loi du 7 octobre 2016 pour l’économie numérique (télédéclaration, restriction du nombre de locations meublées de tourisme à 120 jours)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8" w:history="1">
              <w:r>
                <w:rPr>
                  <w:color w:val="#410a8c"/>
                  <w:u w:val="single"/>
                </w:rPr>
                <w:t xml:space="preserve">hal-02503149v1</w:t>
              </w:r>
            </w:hyperlink>
          </w:p>
        </w:tc>
      </w:tr>
      <w:tr>
        <w:trPr/>
        <w:tc>
          <w:tcPr>
            <w:noWrap/>
          </w:tcPr>
          <w:p>
            <w:pPr>
              <w:spacing w:after="200"/>
            </w:pPr>
            <w:hyperlink r:id="rId119" w:history="1">
              <w:r>
                <w:rPr>
                  <w:color w:val="1e198e"/>
                  <w:b w:val="1"/>
                  <w:bCs w:val="1"/>
                  <w:u w:val="single"/>
                </w:rPr>
                <w:t xml:space="preserve">Actionnaires minoritaires : les limites au devoir de loyauté du dirigeant</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9" w:history="1">
              <w:r>
                <w:rPr>
                  <w:color w:val="#410a8c"/>
                  <w:u w:val="single"/>
                </w:rPr>
                <w:t xml:space="preserve">hal-02503107v1</w:t>
              </w:r>
            </w:hyperlink>
          </w:p>
        </w:tc>
      </w:tr>
      <w:tr>
        <w:trPr/>
        <w:tc>
          <w:tcPr>
            <w:noWrap/>
          </w:tcPr>
          <w:p>
            <w:pPr>
              <w:spacing w:after="200"/>
            </w:pPr>
            <w:hyperlink r:id="rId120" w:history="1">
              <w:r>
                <w:rPr>
                  <w:color w:val="1e198e"/>
                  <w:b w:val="1"/>
                  <w:bCs w:val="1"/>
                  <w:u w:val="single"/>
                </w:rPr>
                <w:t xml:space="preserve">Nouveau régime du recours contre une décision statuant uniquement sur la compétence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0" w:history="1">
              <w:r>
                <w:rPr>
                  <w:color w:val="#410a8c"/>
                  <w:u w:val="single"/>
                </w:rPr>
                <w:t xml:space="preserve">hal-02503797v1</w:t>
              </w:r>
            </w:hyperlink>
          </w:p>
        </w:tc>
      </w:tr>
      <w:tr>
        <w:trPr/>
        <w:tc>
          <w:tcPr>
            <w:noWrap/>
          </w:tcPr>
          <w:p>
            <w:pPr>
              <w:spacing w:after="200"/>
            </w:pPr>
            <w:hyperlink r:id="rId121" w:history="1">
              <w:r>
                <w:rPr>
                  <w:color w:val="1e198e"/>
                  <w:b w:val="1"/>
                  <w:bCs w:val="1"/>
                  <w:u w:val="single"/>
                </w:rPr>
                <w:t xml:space="preserve">La transparence financière des syndicats, condition pour exercer des prérogatives dans l’entreprise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1" w:history="1">
              <w:r>
                <w:rPr>
                  <w:color w:val="#410a8c"/>
                  <w:u w:val="single"/>
                </w:rPr>
                <w:t xml:space="preserve">hal-02503788v1</w:t>
              </w:r>
            </w:hyperlink>
          </w:p>
        </w:tc>
      </w:tr>
      <w:tr>
        <w:trPr/>
        <w:tc>
          <w:tcPr>
            <w:noWrap/>
          </w:tcPr>
          <w:p>
            <w:pPr>
              <w:spacing w:after="200"/>
            </w:pPr>
            <w:hyperlink r:id="rId122" w:history="1">
              <w:r>
                <w:rPr>
                  <w:color w:val="1e198e"/>
                  <w:b w:val="1"/>
                  <w:bCs w:val="1"/>
                  <w:u w:val="single"/>
                </w:rPr>
                <w:t xml:space="preserve">La conclusion d’un PACS ne nécessite pas d’entretenir des relations sexuelles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2" w:history="1">
              <w:r>
                <w:rPr>
                  <w:color w:val="#410a8c"/>
                  <w:u w:val="single"/>
                </w:rPr>
                <w:t xml:space="preserve">hal-02503834v1</w:t>
              </w:r>
            </w:hyperlink>
          </w:p>
        </w:tc>
      </w:tr>
      <w:tr>
        <w:trPr/>
        <w:tc>
          <w:tcPr>
            <w:noWrap/>
          </w:tcPr>
          <w:p>
            <w:pPr>
              <w:spacing w:after="200"/>
            </w:pPr>
            <w:hyperlink r:id="rId123" w:history="1">
              <w:r>
                <w:rPr>
                  <w:color w:val="1e198e"/>
                  <w:b w:val="1"/>
                  <w:bCs w:val="1"/>
                  <w:u w:val="single"/>
                </w:rPr>
                <w:t xml:space="preserve">Divorces et mesures provisoires en dernier ressort sans mettre fin à l’instance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3" w:history="1">
              <w:r>
                <w:rPr>
                  <w:color w:val="#410a8c"/>
                  <w:u w:val="single"/>
                </w:rPr>
                <w:t xml:space="preserve">hal-02503801v1</w:t>
              </w:r>
            </w:hyperlink>
          </w:p>
        </w:tc>
      </w:tr>
      <w:tr>
        <w:trPr/>
        <w:tc>
          <w:tcPr>
            <w:noWrap/>
          </w:tcPr>
          <w:p>
            <w:pPr>
              <w:spacing w:after="200"/>
            </w:pPr>
            <w:hyperlink r:id="rId124" w:history="1">
              <w:r>
                <w:rPr>
                  <w:color w:val="1e198e"/>
                  <w:b w:val="1"/>
                  <w:bCs w:val="1"/>
                  <w:u w:val="single"/>
                </w:rPr>
                <w:t xml:space="preserve">SAS : dispense possible d’évaluation, par un commissaire aux apports, des apports en nature n’excédant pas 30 000 euros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4" w:history="1">
              <w:r>
                <w:rPr>
                  <w:color w:val="#410a8c"/>
                  <w:u w:val="single"/>
                </w:rPr>
                <w:t xml:space="preserve">hal-02503791v1</w:t>
              </w:r>
            </w:hyperlink>
          </w:p>
        </w:tc>
      </w:tr>
      <w:tr>
        <w:trPr/>
        <w:tc>
          <w:tcPr>
            <w:noWrap/>
          </w:tcPr>
          <w:p>
            <w:pPr>
              <w:spacing w:after="200"/>
            </w:pPr>
            <w:hyperlink r:id="rId125" w:history="1">
              <w:r>
                <w:rPr>
                  <w:color w:val="1e198e"/>
                  <w:b w:val="1"/>
                  <w:bCs w:val="1"/>
                  <w:u w:val="single"/>
                </w:rPr>
                <w:t xml:space="preserve">Entre sanction pénale et sanction disciplinaire, il faut choisir (2): le cas des atteintes autres que celles relatives à la transparence des marchés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5" w:history="1">
              <w:r>
                <w:rPr>
                  <w:color w:val="#410a8c"/>
                  <w:u w:val="single"/>
                </w:rPr>
                <w:t xml:space="preserve">hal-02503861v1</w:t>
              </w:r>
            </w:hyperlink>
          </w:p>
        </w:tc>
      </w:tr>
      <w:tr>
        <w:trPr/>
        <w:tc>
          <w:tcPr>
            <w:noWrap/>
          </w:tcPr>
          <w:p>
            <w:pPr>
              <w:spacing w:after="200"/>
            </w:pPr>
            <w:hyperlink r:id="rId126" w:history="1">
              <w:r>
                <w:rPr>
                  <w:color w:val="1e198e"/>
                  <w:b w:val="1"/>
                  <w:bCs w:val="1"/>
                  <w:u w:val="single"/>
                </w:rPr>
                <w:t xml:space="preserve">Clause d’arbitrage dans un contrat de cession de parts de SARL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6" w:history="1">
              <w:r>
                <w:rPr>
                  <w:color w:val="#410a8c"/>
                  <w:u w:val="single"/>
                </w:rPr>
                <w:t xml:space="preserve">hal-02503779v1</w:t>
              </w:r>
            </w:hyperlink>
          </w:p>
        </w:tc>
      </w:tr>
      <w:tr>
        <w:trPr/>
        <w:tc>
          <w:tcPr>
            <w:noWrap/>
          </w:tcPr>
          <w:p>
            <w:pPr>
              <w:spacing w:after="200"/>
            </w:pPr>
            <w:hyperlink r:id="rId127" w:history="1">
              <w:r>
                <w:rPr>
                  <w:color w:val="1e198e"/>
                  <w:b w:val="1"/>
                  <w:bCs w:val="1"/>
                  <w:u w:val="single"/>
                </w:rPr>
                <w:t xml:space="preserve">La légalité d’un système de mesure automatique de l’audience d’un dispositif publicitaire à partir de la capture, par des boîtiers de comptage Wi-Fi, des adresses des appareils mobiles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7" w:history="1">
              <w:r>
                <w:rPr>
                  <w:color w:val="#410a8c"/>
                  <w:u w:val="single"/>
                </w:rPr>
                <w:t xml:space="preserve">hal-02503846v1</w:t>
              </w:r>
            </w:hyperlink>
          </w:p>
        </w:tc>
      </w:tr>
      <w:tr>
        <w:trPr/>
        <w:tc>
          <w:tcPr>
            <w:noWrap/>
          </w:tcPr>
          <w:p>
            <w:pPr>
              <w:spacing w:after="200"/>
            </w:pPr>
            <w:hyperlink r:id="rId128" w:history="1">
              <w:r>
                <w:rPr>
                  <w:color w:val="1e198e"/>
                  <w:b w:val="1"/>
                  <w:bCs w:val="1"/>
                  <w:u w:val="single"/>
                </w:rPr>
                <w:t xml:space="preserve">La nullité pour défaut de convocation à une assemblée de SARL ou de SELARL nécessite la preuve d’un grief</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8" w:history="1">
              <w:r>
                <w:rPr>
                  <w:color w:val="#410a8c"/>
                  <w:u w:val="single"/>
                </w:rPr>
                <w:t xml:space="preserve">hal-02503116v1</w:t>
              </w:r>
            </w:hyperlink>
          </w:p>
        </w:tc>
      </w:tr>
      <w:tr>
        <w:trPr/>
        <w:tc>
          <w:tcPr>
            <w:noWrap/>
          </w:tcPr>
          <w:p>
            <w:pPr>
              <w:spacing w:after="200"/>
            </w:pPr>
            <w:hyperlink r:id="rId129" w:history="1">
              <w:r>
                <w:rPr>
                  <w:color w:val="1e198e"/>
                  <w:b w:val="1"/>
                  <w:bCs w:val="1"/>
                  <w:u w:val="single"/>
                </w:rPr>
                <w:t xml:space="preserve">Loi pour une République numérique du 7 octobre 2016 : création de nouvelles obligations d’information, de loyauté et de conformité à la charge des opérateurs de plateformes en ligne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9" w:history="1">
              <w:r>
                <w:rPr>
                  <w:color w:val="#410a8c"/>
                  <w:u w:val="single"/>
                </w:rPr>
                <w:t xml:space="preserve">hal-02503089v1</w:t>
              </w:r>
            </w:hyperlink>
          </w:p>
        </w:tc>
      </w:tr>
      <w:tr>
        <w:trPr/>
        <w:tc>
          <w:tcPr>
            <w:noWrap/>
          </w:tcPr>
          <w:p>
            <w:pPr>
              <w:spacing w:after="200"/>
            </w:pPr>
            <w:hyperlink r:id="rId130" w:history="1">
              <w:r>
                <w:rPr>
                  <w:color w:val="1e198e"/>
                  <w:b w:val="1"/>
                  <w:bCs w:val="1"/>
                  <w:u w:val="single"/>
                </w:rPr>
                <w:t xml:space="preserve">Loi du 7 octobre 2016 pour une République numérique : la signification du principe de l’« Open Data par défaut »</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0" w:history="1">
              <w:r>
                <w:rPr>
                  <w:color w:val="#410a8c"/>
                  <w:u w:val="single"/>
                </w:rPr>
                <w:t xml:space="preserve">hal-02503137v1</w:t>
              </w:r>
            </w:hyperlink>
          </w:p>
        </w:tc>
      </w:tr>
      <w:tr>
        <w:trPr/>
        <w:tc>
          <w:tcPr>
            <w:noWrap/>
          </w:tcPr>
          <w:p>
            <w:pPr>
              <w:spacing w:after="200"/>
            </w:pPr>
            <w:hyperlink r:id="rId131" w:history="1">
              <w:r>
                <w:rPr>
                  <w:color w:val="1e198e"/>
                  <w:b w:val="1"/>
                  <w:bCs w:val="1"/>
                  <w:u w:val="single"/>
                </w:rPr>
                <w:t xml:space="preserve">La résiliation annuelle de l’assurance-emprunteur : suite et fin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1" w:history="1">
              <w:r>
                <w:rPr>
                  <w:color w:val="#410a8c"/>
                  <w:u w:val="single"/>
                </w:rPr>
                <w:t xml:space="preserve">hal-02503857v1</w:t>
              </w:r>
            </w:hyperlink>
          </w:p>
        </w:tc>
      </w:tr>
      <w:tr>
        <w:trPr/>
        <w:tc>
          <w:tcPr>
            <w:noWrap/>
          </w:tcPr>
          <w:p>
            <w:pPr>
              <w:spacing w:after="200"/>
            </w:pPr>
            <w:hyperlink r:id="rId132" w:history="1">
              <w:r>
                <w:rPr>
                  <w:color w:val="1e198e"/>
                  <w:b w:val="1"/>
                  <w:bCs w:val="1"/>
                  <w:u w:val="single"/>
                </w:rPr>
                <w:t xml:space="preserve">La mise en place du télétravail depuis l’ordonnance du 22 septembre 2017 : un petit pas pour une grande transformation?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2" w:history="1">
              <w:r>
                <w:rPr>
                  <w:color w:val="#410a8c"/>
                  <w:u w:val="single"/>
                </w:rPr>
                <w:t xml:space="preserve">hal-02503875v1</w:t>
              </w:r>
            </w:hyperlink>
          </w:p>
        </w:tc>
      </w:tr>
      <w:tr>
        <w:trPr/>
        <w:tc>
          <w:tcPr>
            <w:noWrap/>
          </w:tcPr>
          <w:p>
            <w:pPr>
              <w:spacing w:after="200"/>
            </w:pPr>
            <w:hyperlink r:id="rId133" w:history="1">
              <w:r>
                <w:rPr>
                  <w:color w:val="1e198e"/>
                  <w:b w:val="1"/>
                  <w:bCs w:val="1"/>
                  <w:u w:val="single"/>
                </w:rPr>
                <w:t xml:space="preserve">Loi du 7 octobre 2016 pour une République numérique : des directives « anticipées » sur le sort post mortem des données à caractère personnel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3" w:history="1">
              <w:r>
                <w:rPr>
                  <w:color w:val="#410a8c"/>
                  <w:u w:val="single"/>
                </w:rPr>
                <w:t xml:space="preserve">hal-02503079v1</w:t>
              </w:r>
            </w:hyperlink>
          </w:p>
        </w:tc>
      </w:tr>
      <w:tr>
        <w:trPr/>
        <w:tc>
          <w:tcPr>
            <w:noWrap/>
          </w:tcPr>
          <w:p>
            <w:pPr>
              <w:spacing w:after="200"/>
            </w:pPr>
            <w:hyperlink r:id="rId134" w:history="1">
              <w:r>
                <w:rPr>
                  <w:color w:val="1e198e"/>
                  <w:b w:val="1"/>
                  <w:bCs w:val="1"/>
                  <w:u w:val="single"/>
                </w:rPr>
                <w:t xml:space="preserve">Loi du 7 octobre 2016 pour une République numérique : le sort post mortem des données à caractère personnel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4" w:history="1">
              <w:r>
                <w:rPr>
                  <w:color w:val="#410a8c"/>
                  <w:u w:val="single"/>
                </w:rPr>
                <w:t xml:space="preserve">hal-02503074v1</w:t>
              </w:r>
            </w:hyperlink>
          </w:p>
        </w:tc>
      </w:tr>
      <w:tr>
        <w:trPr/>
        <w:tc>
          <w:tcPr>
            <w:noWrap/>
          </w:tcPr>
          <w:p>
            <w:pPr>
              <w:spacing w:after="200"/>
            </w:pPr>
            <w:hyperlink r:id="rId135" w:history="1">
              <w:r>
                <w:rPr>
                  <w:color w:val="1e198e"/>
                  <w:b w:val="1"/>
                  <w:bCs w:val="1"/>
                  <w:u w:val="single"/>
                </w:rPr>
                <w:t xml:space="preserve">Informations sur les algorithmes utilisés pour prendre une décision individuelle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5" w:history="1">
              <w:r>
                <w:rPr>
                  <w:color w:val="#410a8c"/>
                  <w:u w:val="single"/>
                </w:rPr>
                <w:t xml:space="preserve">hal-02503820v1</w:t>
              </w:r>
            </w:hyperlink>
          </w:p>
        </w:tc>
      </w:tr>
      <w:tr>
        <w:trPr/>
        <w:tc>
          <w:tcPr>
            <w:noWrap/>
          </w:tcPr>
          <w:p>
            <w:pPr>
              <w:spacing w:after="200"/>
            </w:pPr>
            <w:hyperlink r:id="rId136" w:history="1">
              <w:r>
                <w:rPr>
                  <w:color w:val="1e198e"/>
                  <w:b w:val="1"/>
                  <w:bCs w:val="1"/>
                  <w:u w:val="single"/>
                </w:rPr>
                <w:t xml:space="preserve">Dématérialisation des bulletins de paie dans le secteur privé : de nouveaux jalons en faveur de la transition numérique des entreprises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6" w:history="1">
              <w:r>
                <w:rPr>
                  <w:color w:val="#410a8c"/>
                  <w:u w:val="single"/>
                </w:rPr>
                <w:t xml:space="preserve">hal-02503782v1</w:t>
              </w:r>
            </w:hyperlink>
          </w:p>
        </w:tc>
      </w:tr>
      <w:tr>
        <w:trPr/>
        <w:tc>
          <w:tcPr>
            <w:noWrap/>
          </w:tcPr>
          <w:p>
            <w:pPr>
              <w:spacing w:after="200"/>
            </w:pPr>
            <w:hyperlink r:id="rId137" w:history="1">
              <w:r>
                <w:rPr>
                  <w:color w:val="1e198e"/>
                  <w:b w:val="1"/>
                  <w:bCs w:val="1"/>
                  <w:u w:val="single"/>
                </w:rPr>
                <w:t xml:space="preserve">Les PACS relèvent désormais de la compétence des officiers d’état civil des communes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7" w:history="1">
              <w:r>
                <w:rPr>
                  <w:color w:val="#410a8c"/>
                  <w:u w:val="single"/>
                </w:rPr>
                <w:t xml:space="preserve">hal-02503838v1</w:t>
              </w:r>
            </w:hyperlink>
          </w:p>
        </w:tc>
      </w:tr>
      <w:tr>
        <w:trPr/>
        <w:tc>
          <w:tcPr>
            <w:noWrap/>
          </w:tcPr>
          <w:p>
            <w:pPr>
              <w:spacing w:after="200"/>
            </w:pPr>
            <w:hyperlink r:id="rId138" w:history="1">
              <w:r>
                <w:rPr>
                  <w:color w:val="1e198e"/>
                  <w:b w:val="1"/>
                  <w:bCs w:val="1"/>
                  <w:u w:val="single"/>
                </w:rPr>
                <w:t xml:space="preserve">Loi du 8 août 2016 pour la reconquête de la biodiversité, de la nature et des paysages : définition de la biodiversité et principes directeurs du droit de l’environnement</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8" w:history="1">
              <w:r>
                <w:rPr>
                  <w:color w:val="#410a8c"/>
                  <w:u w:val="single"/>
                </w:rPr>
                <w:t xml:space="preserve">hal-02503059v1</w:t>
              </w:r>
            </w:hyperlink>
          </w:p>
        </w:tc>
      </w:tr>
      <w:tr>
        <w:trPr/>
        <w:tc>
          <w:tcPr>
            <w:noWrap/>
          </w:tcPr>
          <w:p>
            <w:pPr>
              <w:spacing w:after="200"/>
            </w:pPr>
            <w:hyperlink r:id="rId139" w:history="1">
              <w:r>
                <w:rPr>
                  <w:color w:val="1e198e"/>
                  <w:b w:val="1"/>
                  <w:bCs w:val="1"/>
                  <w:u w:val="single"/>
                </w:rPr>
                <w:t xml:space="preserve">La clause d’habitation bourgeoise n’interdit pas forcément la domiciliation d’une société commerciale dans un local d’habitation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9" w:history="1">
              <w:r>
                <w:rPr>
                  <w:color w:val="#410a8c"/>
                  <w:u w:val="single"/>
                </w:rPr>
                <w:t xml:space="preserve">hal-02503106v1</w:t>
              </w:r>
            </w:hyperlink>
          </w:p>
        </w:tc>
      </w:tr>
      <w:tr>
        <w:trPr/>
        <w:tc>
          <w:tcPr>
            <w:noWrap/>
          </w:tcPr>
          <w:p>
            <w:pPr>
              <w:spacing w:after="200"/>
            </w:pPr>
            <w:hyperlink r:id="rId140" w:history="1">
              <w:r>
                <w:rPr>
                  <w:color w:val="1e198e"/>
                  <w:b w:val="1"/>
                  <w:bCs w:val="1"/>
                  <w:u w:val="single"/>
                </w:rPr>
                <w:t xml:space="preserve">Loi du 7 octobre 2016 pour une République numérique : la répression des atteintes à l’intimité sexuelle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0" w:history="1">
              <w:r>
                <w:rPr>
                  <w:color w:val="#410a8c"/>
                  <w:u w:val="single"/>
                </w:rPr>
                <w:t xml:space="preserve">hal-02503084v1</w:t>
              </w:r>
            </w:hyperlink>
          </w:p>
        </w:tc>
      </w:tr>
      <w:tr>
        <w:trPr/>
        <w:tc>
          <w:tcPr>
            <w:noWrap/>
          </w:tcPr>
          <w:p>
            <w:pPr>
              <w:spacing w:after="200"/>
            </w:pPr>
            <w:hyperlink r:id="rId141" w:history="1">
              <w:r>
                <w:rPr>
                  <w:color w:val="1e198e"/>
                  <w:b w:val="1"/>
                  <w:bCs w:val="1"/>
                  <w:u w:val="single"/>
                </w:rPr>
                <w:t xml:space="preserve">Loi Sapin 2 du 9 décembre 2016 : le régime juridique des lanceurs d’alerte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1" w:history="1">
              <w:r>
                <w:rPr>
                  <w:color w:val="#410a8c"/>
                  <w:u w:val="single"/>
                </w:rPr>
                <w:t xml:space="preserve">hal-02503784v1</w:t>
              </w:r>
            </w:hyperlink>
          </w:p>
        </w:tc>
      </w:tr>
      <w:tr>
        <w:trPr/>
        <w:tc>
          <w:tcPr>
            <w:noWrap/>
          </w:tcPr>
          <w:p>
            <w:pPr>
              <w:spacing w:after="200"/>
            </w:pPr>
            <w:hyperlink r:id="rId142" w:history="1">
              <w:r>
                <w:rPr>
                  <w:color w:val="1e198e"/>
                  <w:b w:val="1"/>
                  <w:bCs w:val="1"/>
                  <w:u w:val="single"/>
                </w:rPr>
                <w:t xml:space="preserve">La signature par les acquéreurs de l’acte authentique de vente vaut renonciation à se prévaloir de l’irrégularité de la notification du droit de rétractation prévue à l’article L.271-1 du Code de la construction et de l’habitation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2" w:history="1">
              <w:r>
                <w:rPr>
                  <w:color w:val="#410a8c"/>
                  <w:u w:val="single"/>
                </w:rPr>
                <w:t xml:space="preserve">hal-02503131v1</w:t>
              </w:r>
            </w:hyperlink>
          </w:p>
        </w:tc>
      </w:tr>
      <w:tr>
        <w:trPr/>
        <w:tc>
          <w:tcPr>
            <w:noWrap/>
          </w:tcPr>
          <w:p>
            <w:pPr>
              <w:spacing w:after="200"/>
            </w:pPr>
            <w:hyperlink r:id="rId143" w:history="1">
              <w:r>
                <w:rPr>
                  <w:color w:val="1e198e"/>
                  <w:b w:val="1"/>
                  <w:bCs w:val="1"/>
                  <w:u w:val="single"/>
                </w:rPr>
                <w:t xml:space="preserve">Droit du chercheur de publier en open access : lorsque donner n’empêche pas de reprendre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3" w:history="1">
              <w:r>
                <w:rPr>
                  <w:color w:val="#410a8c"/>
                  <w:u w:val="single"/>
                </w:rPr>
                <w:t xml:space="preserve">hal-02503159v1</w:t>
              </w:r>
            </w:hyperlink>
          </w:p>
        </w:tc>
      </w:tr>
      <w:tr>
        <w:trPr/>
        <w:tc>
          <w:tcPr>
            <w:noWrap/>
          </w:tcPr>
          <w:p>
            <w:pPr>
              <w:spacing w:after="200"/>
            </w:pPr>
            <w:hyperlink r:id="rId144" w:history="1">
              <w:r>
                <w:rPr>
                  <w:color w:val="1e198e"/>
                  <w:b w:val="1"/>
                  <w:bCs w:val="1"/>
                  <w:u w:val="single"/>
                </w:rPr>
                <w:t xml:space="preserve">Contrat de crédit et contrat de vente : modalité de remboursement et silence du contrat</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4" w:history="1">
              <w:r>
                <w:rPr>
                  <w:color w:val="#410a8c"/>
                  <w:u w:val="single"/>
                </w:rPr>
                <w:t xml:space="preserve">hal-02503126v1</w:t>
              </w:r>
            </w:hyperlink>
          </w:p>
        </w:tc>
      </w:tr>
      <w:tr>
        <w:trPr/>
        <w:tc>
          <w:tcPr>
            <w:noWrap/>
          </w:tcPr>
          <w:p>
            <w:pPr>
              <w:spacing w:after="200"/>
            </w:pPr>
            <w:hyperlink r:id="rId145" w:history="1">
              <w:r>
                <w:rPr>
                  <w:color w:val="1e198e"/>
                  <w:b w:val="1"/>
                  <w:bCs w:val="1"/>
                  <w:u w:val="single"/>
                </w:rPr>
                <w:t xml:space="preserve">En cas de retard, la SNCF n’est tenue de réparer que le préjudice strictement prévisible lors de la conclusion du contrat et qui constitue une suite immédiate et directe du retard</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5" w:history="1">
              <w:r>
                <w:rPr>
                  <w:color w:val="#410a8c"/>
                  <w:u w:val="single"/>
                </w:rPr>
                <w:t xml:space="preserve">hal-02503122v1</w:t>
              </w:r>
            </w:hyperlink>
          </w:p>
        </w:tc>
      </w:tr>
      <w:tr>
        <w:trPr/>
        <w:tc>
          <w:tcPr>
            <w:noWrap/>
          </w:tcPr>
          <w:p>
            <w:pPr>
              <w:spacing w:after="200"/>
            </w:pPr>
            <w:hyperlink r:id="rId146" w:history="1">
              <w:r>
                <w:rPr>
                  <w:color w:val="1e198e"/>
                  <w:b w:val="1"/>
                  <w:bCs w:val="1"/>
                  <w:u w:val="single"/>
                </w:rPr>
                <w:t xml:space="preserve">L’étendue du principe de l’« Open data par défaut » affirmé par la loi pour une République numérique : les documents concernés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6" w:history="1">
              <w:r>
                <w:rPr>
                  <w:color w:val="#410a8c"/>
                  <w:u w:val="single"/>
                </w:rPr>
                <w:t xml:space="preserve">hal-02503143v1</w:t>
              </w:r>
            </w:hyperlink>
          </w:p>
        </w:tc>
      </w:tr>
      <w:tr>
        <w:trPr/>
        <w:tc>
          <w:tcPr>
            <w:noWrap/>
          </w:tcPr>
          <w:p>
            <w:pPr>
              <w:spacing w:after="200"/>
            </w:pPr>
            <w:hyperlink r:id="rId147" w:history="1">
              <w:r>
                <w:rPr>
                  <w:color w:val="1e198e"/>
                  <w:b w:val="1"/>
                  <w:bCs w:val="1"/>
                  <w:u w:val="single"/>
                </w:rPr>
                <w:t xml:space="preserve">Loi du 7 octobre 2016 pour une République numérique : consécration du « coffre-fort numérique »</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7" w:history="1">
              <w:r>
                <w:rPr>
                  <w:color w:val="#410a8c"/>
                  <w:u w:val="single"/>
                </w:rPr>
                <w:t xml:space="preserve">hal-02503094v1</w:t>
              </w:r>
            </w:hyperlink>
          </w:p>
        </w:tc>
      </w:tr>
      <w:tr>
        <w:trPr/>
        <w:tc>
          <w:tcPr>
            <w:noWrap/>
          </w:tcPr>
          <w:p>
            <w:pPr>
              <w:spacing w:after="200"/>
            </w:pPr>
            <w:hyperlink r:id="rId148" w:history="1">
              <w:r>
                <w:rPr>
                  <w:color w:val="1e198e"/>
                  <w:b w:val="1"/>
                  <w:bCs w:val="1"/>
                  <w:u w:val="single"/>
                </w:rPr>
                <w:t xml:space="preserve">Les droits de l’administration sur ses bases de données face au mouvement de l’Open Data</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8" w:history="1">
              <w:r>
                <w:rPr>
                  <w:color w:val="#410a8c"/>
                  <w:u w:val="single"/>
                </w:rPr>
                <w:t xml:space="preserve">hal-02503146v1</w:t>
              </w:r>
            </w:hyperlink>
          </w:p>
        </w:tc>
      </w:tr>
      <w:tr>
        <w:trPr/>
        <w:tc>
          <w:tcPr>
            <w:noWrap/>
          </w:tcPr>
          <w:p>
            <w:pPr>
              <w:spacing w:after="200"/>
            </w:pPr>
            <w:hyperlink r:id="rId149" w:history="1">
              <w:r>
                <w:rPr>
                  <w:color w:val="1e198e"/>
                  <w:b w:val="1"/>
                  <w:bCs w:val="1"/>
                  <w:u w:val="single"/>
                </w:rPr>
                <w:t xml:space="preserve">Locations immobilières développées par l’économie collaborative (Airbnb, etc.) (2) : nouvelles obligations issues de la loi du 23 décembre 2016 de financement de la sécurité sociale pour 2017</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9" w:history="1">
              <w:r>
                <w:rPr>
                  <w:color w:val="#410a8c"/>
                  <w:u w:val="single"/>
                </w:rPr>
                <w:t xml:space="preserve">hal-02503154v1</w:t>
              </w:r>
            </w:hyperlink>
          </w:p>
        </w:tc>
      </w:tr>
      <w:tr>
        <w:trPr/>
        <w:tc>
          <w:tcPr>
            <w:noWrap/>
          </w:tcPr>
          <w:p>
            <w:pPr>
              <w:spacing w:after="200"/>
            </w:pPr>
            <w:hyperlink r:id="rId150" w:history="1">
              <w:r>
                <w:rPr>
                  <w:color w:val="1e198e"/>
                  <w:b w:val="1"/>
                  <w:bCs w:val="1"/>
                  <w:u w:val="single"/>
                </w:rPr>
                <w:t xml:space="preserve">Le compte pénibilité est mort. Vive le compte professionnel de prévention !</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0" w:history="1">
              <w:r>
                <w:rPr>
                  <w:color w:val="#410a8c"/>
                  <w:u w:val="single"/>
                </w:rPr>
                <w:t xml:space="preserve">hal-02503862v1</w:t>
              </w:r>
            </w:hyperlink>
          </w:p>
        </w:tc>
      </w:tr>
      <w:tr>
        <w:trPr/>
        <w:tc>
          <w:tcPr>
            <w:noWrap/>
          </w:tcPr>
          <w:p>
            <w:pPr>
              <w:spacing w:after="200"/>
            </w:pPr>
            <w:hyperlink r:id="rId151" w:history="1">
              <w:r>
                <w:rPr>
                  <w:color w:val="1e198e"/>
                  <w:b w:val="1"/>
                  <w:bCs w:val="1"/>
                  <w:u w:val="single"/>
                </w:rPr>
                <w:t xml:space="preserve">Pas de droit à l’oubli pour les données personnelles inscrites sur un registre des sociétés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1" w:history="1">
              <w:r>
                <w:rPr>
                  <w:color w:val="#410a8c"/>
                  <w:u w:val="single"/>
                </w:rPr>
                <w:t xml:space="preserve">hal-02503825v1</w:t>
              </w:r>
            </w:hyperlink>
          </w:p>
        </w:tc>
      </w:tr>
      <w:tr>
        <w:trPr/>
        <w:tc>
          <w:tcPr>
            <w:noWrap/>
          </w:tcPr>
          <w:p>
            <w:pPr>
              <w:spacing w:after="200"/>
            </w:pPr>
            <w:hyperlink r:id="rId152" w:history="1">
              <w:r>
                <w:rPr>
                  <w:color w:val="1e198e"/>
                  <w:b w:val="1"/>
                  <w:bCs w:val="1"/>
                  <w:u w:val="single"/>
                </w:rPr>
                <w:t xml:space="preserve">Compétence (partielle) des avocats pour procéder aux formalités de publicité foncière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2" w:history="1">
              <w:r>
                <w:rPr>
                  <w:color w:val="#410a8c"/>
                  <w:u w:val="single"/>
                </w:rPr>
                <w:t xml:space="preserve">hal-02503845v1</w:t>
              </w:r>
            </w:hyperlink>
          </w:p>
        </w:tc>
      </w:tr>
      <w:tr>
        <w:trPr/>
        <w:tc>
          <w:tcPr>
            <w:noWrap/>
          </w:tcPr>
          <w:p>
            <w:pPr>
              <w:spacing w:after="200"/>
            </w:pPr>
            <w:hyperlink r:id="rId153" w:history="1">
              <w:r>
                <w:rPr>
                  <w:color w:val="1e198e"/>
                  <w:b w:val="1"/>
                  <w:bCs w:val="1"/>
                  <w:u w:val="single"/>
                </w:rPr>
                <w:t xml:space="preserve">SA cotées : entrée en vigueur du Say on Pay</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3" w:history="1">
              <w:r>
                <w:rPr>
                  <w:color w:val="#410a8c"/>
                  <w:u w:val="single"/>
                </w:rPr>
                <w:t xml:space="preserve">hal-02503842v1</w:t>
              </w:r>
            </w:hyperlink>
          </w:p>
        </w:tc>
      </w:tr>
      <w:tr>
        <w:trPr/>
        <w:tc>
          <w:tcPr>
            <w:noWrap/>
          </w:tcPr>
          <w:p>
            <w:pPr>
              <w:spacing w:after="200"/>
            </w:pPr>
            <w:hyperlink r:id="rId154" w:history="1">
              <w:r>
                <w:rPr>
                  <w:color w:val="1e198e"/>
                  <w:b w:val="1"/>
                  <w:bCs w:val="1"/>
                  <w:u w:val="single"/>
                </w:rPr>
                <w:t xml:space="preserve">Précisions sur le régime de l’action de groupe en cas de discrimination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4" w:history="1">
              <w:r>
                <w:rPr>
                  <w:color w:val="#410a8c"/>
                  <w:u w:val="single"/>
                </w:rPr>
                <w:t xml:space="preserve">hal-02503856v1</w:t>
              </w:r>
            </w:hyperlink>
          </w:p>
        </w:tc>
      </w:tr>
      <w:tr>
        <w:trPr/>
        <w:tc>
          <w:tcPr>
            <w:noWrap/>
          </w:tcPr>
          <w:p>
            <w:pPr>
              <w:spacing w:after="200"/>
            </w:pPr>
            <w:hyperlink r:id="rId155" w:history="1">
              <w:r>
                <w:rPr>
                  <w:color w:val="1e198e"/>
                  <w:b w:val="1"/>
                  <w:bCs w:val="1"/>
                  <w:u w:val="single"/>
                </w:rPr>
                <w:t xml:space="preserve">Sexe neutre : les nécessités de l’organisation sociale et juridique l’emportent sur le droit à la vie privée…devant les juges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5" w:history="1">
              <w:r>
                <w:rPr>
                  <w:color w:val="#410a8c"/>
                  <w:u w:val="single"/>
                </w:rPr>
                <w:t xml:space="preserve">hal-02503836v1</w:t>
              </w:r>
            </w:hyperlink>
          </w:p>
        </w:tc>
      </w:tr>
      <w:tr>
        <w:trPr/>
        <w:tc>
          <w:tcPr>
            <w:noWrap/>
          </w:tcPr>
          <w:p>
            <w:pPr>
              <w:spacing w:after="200"/>
            </w:pPr>
            <w:hyperlink r:id="rId156" w:history="1">
              <w:r>
                <w:rPr>
                  <w:color w:val="1e198e"/>
                  <w:b w:val="1"/>
                  <w:bCs w:val="1"/>
                  <w:u w:val="single"/>
                </w:rPr>
                <w:t xml:space="preserve">Assujettis à la TVA : admission de l’archivage électronique des factures papier</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6" w:history="1">
              <w:r>
                <w:rPr>
                  <w:color w:val="#410a8c"/>
                  <w:u w:val="single"/>
                </w:rPr>
                <w:t xml:space="preserve">hal-02503841v1</w:t>
              </w:r>
            </w:hyperlink>
          </w:p>
        </w:tc>
      </w:tr>
      <w:tr>
        <w:trPr/>
        <w:tc>
          <w:tcPr>
            <w:noWrap/>
          </w:tcPr>
          <w:p>
            <w:pPr>
              <w:spacing w:after="200"/>
            </w:pPr>
            <w:hyperlink r:id="rId157" w:history="1">
              <w:r>
                <w:rPr>
                  <w:color w:val="1e198e"/>
                  <w:b w:val="1"/>
                  <w:bCs w:val="1"/>
                  <w:u w:val="single"/>
                </w:rPr>
                <w:t xml:space="preserve">Loi du 8 août 2016 pour la reconquête de la biodiversité, de la nature et des paysages : instauration d’un régime légal de réparation du préjudice écologique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7" w:history="1">
              <w:r>
                <w:rPr>
                  <w:color w:val="#410a8c"/>
                  <w:u w:val="single"/>
                </w:rPr>
                <w:t xml:space="preserve">hal-02503062v1</w:t>
              </w:r>
            </w:hyperlink>
          </w:p>
        </w:tc>
      </w:tr>
      <w:tr>
        <w:trPr/>
        <w:tc>
          <w:tcPr>
            <w:noWrap/>
          </w:tcPr>
          <w:p>
            <w:pPr>
              <w:spacing w:after="200"/>
            </w:pPr>
            <w:hyperlink r:id="rId158" w:history="1">
              <w:r>
                <w:rPr>
                  <w:color w:val="1e198e"/>
                  <w:b w:val="1"/>
                  <w:bCs w:val="1"/>
                  <w:u w:val="single"/>
                </w:rPr>
                <w:t xml:space="preserve">Loi du 7 octobre 2016 pour une République numérique : l’open data s’empare de la jurisprudence (judiciaire et administrative)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8" w:history="1">
              <w:r>
                <w:rPr>
                  <w:color w:val="#410a8c"/>
                  <w:u w:val="single"/>
                </w:rPr>
                <w:t xml:space="preserve">hal-02503104v1</w:t>
              </w:r>
            </w:hyperlink>
          </w:p>
        </w:tc>
      </w:tr>
      <w:tr>
        <w:trPr/>
        <w:tc>
          <w:tcPr>
            <w:noWrap/>
          </w:tcPr>
          <w:p>
            <w:pPr>
              <w:spacing w:after="200"/>
            </w:pPr>
            <w:hyperlink r:id="rId159" w:history="1">
              <w:r>
                <w:rPr>
                  <w:color w:val="1e198e"/>
                  <w:b w:val="1"/>
                  <w:bCs w:val="1"/>
                  <w:u w:val="single"/>
                </w:rPr>
                <w:t xml:space="preserve">L’obligation d’information et de mise en garde du banquier ne bénéficie pas au conjoint de l’époux caution, qui donne son consentement au cautionnement (art.1415 C.civ.)</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9" w:history="1">
              <w:r>
                <w:rPr>
                  <w:color w:val="#410a8c"/>
                  <w:u w:val="single"/>
                </w:rPr>
                <w:t xml:space="preserve">hal-02503101v1</w:t>
              </w:r>
            </w:hyperlink>
          </w:p>
        </w:tc>
      </w:tr>
      <w:tr>
        <w:trPr/>
        <w:tc>
          <w:tcPr>
            <w:noWrap/>
          </w:tcPr>
          <w:p>
            <w:pPr>
              <w:spacing w:after="200"/>
            </w:pPr>
            <w:hyperlink r:id="rId160" w:history="1">
              <w:r>
                <w:rPr>
                  <w:color w:val="1e198e"/>
                  <w:b w:val="1"/>
                  <w:bCs w:val="1"/>
                  <w:u w:val="single"/>
                </w:rPr>
                <w:t xml:space="preserve">Ordonnance Macron sur la négociation collective : les principes d’articulation entre les normes légales et les accords collectifs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0" w:history="1">
              <w:r>
                <w:rPr>
                  <w:color w:val="#410a8c"/>
                  <w:u w:val="single"/>
                </w:rPr>
                <w:t xml:space="preserve">hal-02503868v1</w:t>
              </w:r>
            </w:hyperlink>
          </w:p>
        </w:tc>
      </w:tr>
      <w:tr>
        <w:trPr/>
        <w:tc>
          <w:tcPr>
            <w:noWrap/>
          </w:tcPr>
          <w:p>
            <w:pPr>
              <w:spacing w:after="200"/>
            </w:pPr>
            <w:hyperlink r:id="rId161" w:history="1">
              <w:r>
                <w:rPr>
                  <w:color w:val="1e198e"/>
                  <w:b w:val="1"/>
                  <w:bCs w:val="1"/>
                  <w:u w:val="single"/>
                </w:rPr>
                <w:t xml:space="preserve">Les droits du télétravailleur depuis l’ordonnance du 22 septembre 2017</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1" w:history="1">
              <w:r>
                <w:rPr>
                  <w:color w:val="#410a8c"/>
                  <w:u w:val="single"/>
                </w:rPr>
                <w:t xml:space="preserve">hal-02503878v1</w:t>
              </w:r>
            </w:hyperlink>
          </w:p>
        </w:tc>
      </w:tr>
      <w:tr>
        <w:trPr/>
        <w:tc>
          <w:tcPr>
            <w:noWrap/>
          </w:tcPr>
          <w:p>
            <w:pPr>
              <w:spacing w:after="200"/>
            </w:pPr>
            <w:hyperlink r:id="rId162" w:history="1">
              <w:r>
                <w:rPr>
                  <w:color w:val="1e198e"/>
                  <w:b w:val="1"/>
                  <w:bCs w:val="1"/>
                  <w:u w:val="single"/>
                </w:rPr>
                <w:t xml:space="preserve">Crimes et délits : le nouveau régime de la prescription de l’action publique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2" w:history="1">
              <w:r>
                <w:rPr>
                  <w:color w:val="#410a8c"/>
                  <w:u w:val="single"/>
                </w:rPr>
                <w:t xml:space="preserve">hal-02503793v1</w:t>
              </w:r>
            </w:hyperlink>
          </w:p>
        </w:tc>
      </w:tr>
      <w:tr>
        <w:trPr/>
        <w:tc>
          <w:tcPr>
            <w:noWrap/>
          </w:tcPr>
          <w:p>
            <w:pPr>
              <w:spacing w:after="200"/>
            </w:pPr>
            <w:hyperlink r:id="rId163" w:history="1">
              <w:r>
                <w:rPr>
                  <w:color w:val="1e198e"/>
                  <w:b w:val="1"/>
                  <w:bCs w:val="1"/>
                  <w:u w:val="single"/>
                </w:rPr>
                <w:t xml:space="preserve">Le divorce par consentement mutuel par acte sous signature privée contresigné par avocats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3" w:history="1">
              <w:r>
                <w:rPr>
                  <w:color w:val="#410a8c"/>
                  <w:u w:val="single"/>
                </w:rPr>
                <w:t xml:space="preserve">hal-02503835v1</w:t>
              </w:r>
            </w:hyperlink>
          </w:p>
        </w:tc>
      </w:tr>
      <w:tr>
        <w:trPr/>
        <w:tc>
          <w:tcPr>
            <w:noWrap/>
          </w:tcPr>
          <w:p>
            <w:pPr>
              <w:spacing w:after="200"/>
            </w:pPr>
            <w:hyperlink r:id="rId164" w:history="1">
              <w:r>
                <w:rPr>
                  <w:color w:val="1e198e"/>
                  <w:b w:val="1"/>
                  <w:bCs w:val="1"/>
                  <w:u w:val="single"/>
                </w:rPr>
                <w:t xml:space="preserve">Loi pour une république numérique du 7 octobre 2016 : définition des opérateurs de plateforme en ligne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4" w:history="1">
              <w:r>
                <w:rPr>
                  <w:color w:val="#410a8c"/>
                  <w:u w:val="single"/>
                </w:rPr>
                <w:t xml:space="preserve">hal-02503088v1</w:t>
              </w:r>
            </w:hyperlink>
          </w:p>
        </w:tc>
      </w:tr>
      <w:tr>
        <w:trPr/>
        <w:tc>
          <w:tcPr>
            <w:noWrap/>
          </w:tcPr>
          <w:p>
            <w:pPr>
              <w:spacing w:after="200"/>
            </w:pPr>
            <w:hyperlink r:id="rId165" w:history="1">
              <w:r>
                <w:rPr>
                  <w:color w:val="1e198e"/>
                  <w:b w:val="1"/>
                  <w:bCs w:val="1"/>
                  <w:u w:val="single"/>
                </w:rPr>
                <w:t xml:space="preserve">Cautionnement donné par une personne physique à un créancier professionnel : la durée d’engagement doit être exprimée en mois, et non en mensualités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5" w:history="1">
              <w:r>
                <w:rPr>
                  <w:color w:val="#410a8c"/>
                  <w:u w:val="single"/>
                </w:rPr>
                <w:t xml:space="preserve">hal-02503110v1</w:t>
              </w:r>
            </w:hyperlink>
          </w:p>
        </w:tc>
      </w:tr>
      <w:tr>
        <w:trPr/>
        <w:tc>
          <w:tcPr>
            <w:noWrap/>
          </w:tcPr>
          <w:p>
            <w:pPr>
              <w:spacing w:after="200"/>
            </w:pPr>
            <w:hyperlink r:id="rId166" w:history="1">
              <w:r>
                <w:rPr>
                  <w:color w:val="1e198e"/>
                  <w:b w:val="1"/>
                  <w:bCs w:val="1"/>
                  <w:u w:val="single"/>
                </w:rPr>
                <w:t xml:space="preserve">L’étendue du principe de l’« Open data par défaut » affirmé par la loi pour une République numérique : les administrations concernées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6" w:history="1">
              <w:r>
                <w:rPr>
                  <w:color w:val="#410a8c"/>
                  <w:u w:val="single"/>
                </w:rPr>
                <w:t xml:space="preserve">hal-02503141v1</w:t>
              </w:r>
            </w:hyperlink>
          </w:p>
        </w:tc>
      </w:tr>
      <w:tr>
        <w:trPr/>
        <w:tc>
          <w:tcPr>
            <w:noWrap/>
          </w:tcPr>
          <w:p>
            <w:pPr>
              <w:spacing w:after="200"/>
            </w:pPr>
            <w:hyperlink r:id="rId167" w:history="1">
              <w:r>
                <w:rPr>
                  <w:color w:val="1e198e"/>
                  <w:b w:val="1"/>
                  <w:bCs w:val="1"/>
                  <w:u w:val="single"/>
                </w:rPr>
                <w:t xml:space="preserve">La société subit un préjudice lorsque, par suite d’une réticence dolosive, son dirigeant est tenu de consacrer du temps et de l’énergie au traitement des procédures contentieuses au détriment de ses autres tâches de gestion et du développement de l’activité de la société</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7" w:history="1">
              <w:r>
                <w:rPr>
                  <w:color w:val="#410a8c"/>
                  <w:u w:val="single"/>
                </w:rPr>
                <w:t xml:space="preserve">hal-02503051v1</w:t>
              </w:r>
            </w:hyperlink>
          </w:p>
        </w:tc>
      </w:tr>
      <w:tr>
        <w:trPr/>
        <w:tc>
          <w:tcPr>
            <w:noWrap/>
          </w:tcPr>
          <w:p>
            <w:pPr>
              <w:spacing w:after="200"/>
            </w:pPr>
            <w:hyperlink r:id="rId168" w:history="1">
              <w:r>
                <w:rPr>
                  <w:color w:val="1e198e"/>
                  <w:b w:val="1"/>
                  <w:bCs w:val="1"/>
                  <w:u w:val="single"/>
                </w:rPr>
                <w:t xml:space="preserve">Le non-respect du mandat impératif de vote donné par un copropriétaire peut fonder une action en annulation d’une résolution d’assemblée générale, mais pas la responsabilité du syndic</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8" w:history="1">
              <w:r>
                <w:rPr>
                  <w:color w:val="#410a8c"/>
                  <w:u w:val="single"/>
                </w:rPr>
                <w:t xml:space="preserve">hal-02503040v1</w:t>
              </w:r>
            </w:hyperlink>
          </w:p>
        </w:tc>
      </w:tr>
      <w:tr>
        <w:trPr/>
        <w:tc>
          <w:tcPr>
            <w:noWrap/>
          </w:tcPr>
          <w:p>
            <w:pPr>
              <w:spacing w:after="200"/>
            </w:pPr>
            <w:hyperlink r:id="rId169" w:history="1">
              <w:r>
                <w:rPr>
                  <w:color w:val="1e198e"/>
                  <w:b w:val="1"/>
                  <w:bCs w:val="1"/>
                  <w:u w:val="single"/>
                </w:rPr>
                <w:t xml:space="preserve">Réforme du droit des contrats : la généralisation d’un devoir d’information précontractuelle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9" w:history="1">
              <w:r>
                <w:rPr>
                  <w:color w:val="#410a8c"/>
                  <w:u w:val="single"/>
                </w:rPr>
                <w:t xml:space="preserve">hal-02502938v1</w:t>
              </w:r>
            </w:hyperlink>
          </w:p>
        </w:tc>
      </w:tr>
      <w:tr>
        <w:trPr/>
        <w:tc>
          <w:tcPr>
            <w:noWrap/>
          </w:tcPr>
          <w:p>
            <w:pPr>
              <w:spacing w:after="200"/>
            </w:pPr>
            <w:hyperlink r:id="rId170" w:history="1">
              <w:r>
                <w:rPr>
                  <w:color w:val="1e198e"/>
                  <w:b w:val="1"/>
                  <w:bCs w:val="1"/>
                  <w:u w:val="single"/>
                </w:rPr>
                <w:t xml:space="preserve">Ordonnance du 29 janvier 2016 relative au gage de stocks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0" w:history="1">
              <w:r>
                <w:rPr>
                  <w:color w:val="#410a8c"/>
                  <w:u w:val="single"/>
                </w:rPr>
                <w:t xml:space="preserve">hal-02502903v1</w:t>
              </w:r>
            </w:hyperlink>
          </w:p>
        </w:tc>
      </w:tr>
      <w:tr>
        <w:trPr/>
        <w:tc>
          <w:tcPr>
            <w:noWrap/>
          </w:tcPr>
          <w:p>
            <w:pPr>
              <w:spacing w:after="200"/>
            </w:pPr>
            <w:hyperlink r:id="rId171" w:history="1">
              <w:r>
                <w:rPr>
                  <w:color w:val="1e198e"/>
                  <w:b w:val="1"/>
                  <w:bCs w:val="1"/>
                  <w:u w:val="single"/>
                </w:rPr>
                <w:t xml:space="preserve">Le syndicat des copropriétaires est un « non professionnel », même s’il est représenté par un syndic professionnel</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1" w:history="1">
              <w:r>
                <w:rPr>
                  <w:color w:val="#410a8c"/>
                  <w:u w:val="single"/>
                </w:rPr>
                <w:t xml:space="preserve">hal-02502884v1</w:t>
              </w:r>
            </w:hyperlink>
          </w:p>
        </w:tc>
      </w:tr>
      <w:tr>
        <w:trPr/>
        <w:tc>
          <w:tcPr>
            <w:noWrap/>
          </w:tcPr>
          <w:p>
            <w:pPr>
              <w:spacing w:after="200"/>
            </w:pPr>
            <w:hyperlink r:id="rId172" w:history="1">
              <w:r>
                <w:rPr>
                  <w:color w:val="1e198e"/>
                  <w:b w:val="1"/>
                  <w:bCs w:val="1"/>
                  <w:u w:val="single"/>
                </w:rPr>
                <w:t xml:space="preserve">Les tribunaux français sont compétents pour juger Facebook car la clause attributive de compétence est abusive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2" w:history="1">
              <w:r>
                <w:rPr>
                  <w:color w:val="#410a8c"/>
                  <w:u w:val="single"/>
                </w:rPr>
                <w:t xml:space="preserve">hal-02502921v1</w:t>
              </w:r>
            </w:hyperlink>
          </w:p>
        </w:tc>
      </w:tr>
      <w:tr>
        <w:trPr/>
        <w:tc>
          <w:tcPr>
            <w:noWrap/>
          </w:tcPr>
          <w:p>
            <w:pPr>
              <w:spacing w:after="200"/>
            </w:pPr>
            <w:hyperlink r:id="rId173" w:history="1">
              <w:r>
                <w:rPr>
                  <w:color w:val="1e198e"/>
                  <w:b w:val="1"/>
                  <w:bCs w:val="1"/>
                  <w:u w:val="single"/>
                </w:rPr>
                <w:t xml:space="preserve">Un pacte de préférence est nul pour indétermination du prix lorsque les directives données à l’expert pour évaluer le prix ne précisent pas suffisamment les critères retenus pour procéder à cette évaluation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3" w:history="1">
              <w:r>
                <w:rPr>
                  <w:color w:val="#410a8c"/>
                  <w:u w:val="single"/>
                </w:rPr>
                <w:t xml:space="preserve">hal-02502997v1</w:t>
              </w:r>
            </w:hyperlink>
          </w:p>
        </w:tc>
      </w:tr>
      <w:tr>
        <w:trPr/>
        <w:tc>
          <w:tcPr>
            <w:noWrap/>
          </w:tcPr>
          <w:p>
            <w:pPr>
              <w:spacing w:after="200"/>
            </w:pPr>
            <w:hyperlink r:id="rId174" w:history="1">
              <w:r>
                <w:rPr>
                  <w:color w:val="1e198e"/>
                  <w:b w:val="1"/>
                  <w:bCs w:val="1"/>
                  <w:u w:val="single"/>
                </w:rPr>
                <w:t xml:space="preserve">La liberté d’expression relative à l’existence d’un enfant caché du prince de Monaco</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4" w:history="1">
              <w:r>
                <w:rPr>
                  <w:color w:val="#410a8c"/>
                  <w:u w:val="single"/>
                </w:rPr>
                <w:t xml:space="preserve">hal-02502870v1</w:t>
              </w:r>
            </w:hyperlink>
          </w:p>
        </w:tc>
      </w:tr>
      <w:tr>
        <w:trPr/>
        <w:tc>
          <w:tcPr>
            <w:noWrap/>
          </w:tcPr>
          <w:p>
            <w:pPr>
              <w:spacing w:after="200"/>
            </w:pPr>
            <w:hyperlink r:id="rId175" w:history="1">
              <w:r>
                <w:rPr>
                  <w:color w:val="1e198e"/>
                  <w:b w:val="1"/>
                  <w:bCs w:val="1"/>
                  <w:u w:val="single"/>
                </w:rPr>
                <w:t xml:space="preserve">Loi du 26 janvier 2016 de modernisation de notre système de santé</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5" w:history="1">
              <w:r>
                <w:rPr>
                  <w:color w:val="#410a8c"/>
                  <w:u w:val="single"/>
                </w:rPr>
                <w:t xml:space="preserve">hal-02502912v1</w:t>
              </w:r>
            </w:hyperlink>
          </w:p>
        </w:tc>
      </w:tr>
      <w:tr>
        <w:trPr/>
        <w:tc>
          <w:tcPr>
            <w:noWrap/>
          </w:tcPr>
          <w:p>
            <w:pPr>
              <w:spacing w:after="200"/>
            </w:pPr>
            <w:hyperlink r:id="rId176" w:history="1">
              <w:r>
                <w:rPr>
                  <w:color w:val="1e198e"/>
                  <w:b w:val="1"/>
                  <w:bCs w:val="1"/>
                  <w:u w:val="single"/>
                </w:rPr>
                <w:t xml:space="preserve">Réforme du droit des contrats : dispositions sur le pacte de préférence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6" w:history="1">
              <w:r>
                <w:rPr>
                  <w:color w:val="#410a8c"/>
                  <w:u w:val="single"/>
                </w:rPr>
                <w:t xml:space="preserve">hal-02502946v1</w:t>
              </w:r>
            </w:hyperlink>
          </w:p>
        </w:tc>
      </w:tr>
      <w:tr>
        <w:trPr/>
        <w:tc>
          <w:tcPr>
            <w:noWrap/>
          </w:tcPr>
          <w:p>
            <w:pPr>
              <w:spacing w:after="200"/>
            </w:pPr>
            <w:hyperlink r:id="rId177" w:history="1">
              <w:r>
                <w:rPr>
                  <w:color w:val="1e198e"/>
                  <w:b w:val="1"/>
                  <w:bCs w:val="1"/>
                  <w:u w:val="single"/>
                </w:rPr>
                <w:t xml:space="preserve">L’article 1722 du Code civil, qui dispose qu’en cas de destruction partielle de la chose louée, le preneur peut demander la résiliation du bail ou la diminution du loyer, n’est pas d’ordre public</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7" w:history="1">
              <w:r>
                <w:rPr>
                  <w:color w:val="#410a8c"/>
                  <w:u w:val="single"/>
                </w:rPr>
                <w:t xml:space="preserve">hal-02502992v1</w:t>
              </w:r>
            </w:hyperlink>
          </w:p>
        </w:tc>
      </w:tr>
      <w:tr>
        <w:trPr/>
        <w:tc>
          <w:tcPr>
            <w:noWrap/>
          </w:tcPr>
          <w:p>
            <w:pPr>
              <w:spacing w:after="200"/>
            </w:pPr>
            <w:hyperlink r:id="rId178" w:history="1">
              <w:r>
                <w:rPr>
                  <w:color w:val="1e198e"/>
                  <w:b w:val="1"/>
                  <w:bCs w:val="1"/>
                  <w:u w:val="single"/>
                </w:rPr>
                <w:t xml:space="preserve">Réforme du droit des contrats : l’admission de l’imprévision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8" w:history="1">
              <w:r>
                <w:rPr>
                  <w:color w:val="#410a8c"/>
                  <w:u w:val="single"/>
                </w:rPr>
                <w:t xml:space="preserve">hal-02502978v1</w:t>
              </w:r>
            </w:hyperlink>
          </w:p>
        </w:tc>
      </w:tr>
      <w:tr>
        <w:trPr/>
        <w:tc>
          <w:tcPr>
            <w:noWrap/>
          </w:tcPr>
          <w:p>
            <w:pPr>
              <w:spacing w:after="200"/>
            </w:pPr>
            <w:hyperlink r:id="rId179" w:history="1">
              <w:r>
                <w:rPr>
                  <w:color w:val="1e198e"/>
                  <w:b w:val="1"/>
                  <w:bCs w:val="1"/>
                  <w:u w:val="single"/>
                </w:rPr>
                <w:t xml:space="preserve">L’enseignante qui tombe dans une excavation non signalée ne commet pas une imprudence fautive exonératoire de responsabilité</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9" w:history="1">
              <w:r>
                <w:rPr>
                  <w:color w:val="#410a8c"/>
                  <w:u w:val="single"/>
                </w:rPr>
                <w:t xml:space="preserve">hal-02503034v1</w:t>
              </w:r>
            </w:hyperlink>
          </w:p>
        </w:tc>
      </w:tr>
      <w:tr>
        <w:trPr/>
        <w:tc>
          <w:tcPr>
            <w:noWrap/>
          </w:tcPr>
          <w:p>
            <w:pPr>
              <w:spacing w:after="200"/>
            </w:pPr>
            <w:hyperlink r:id="rId180" w:history="1">
              <w:r>
                <w:rPr>
                  <w:color w:val="1e198e"/>
                  <w:b w:val="1"/>
                  <w:bCs w:val="1"/>
                  <w:u w:val="single"/>
                </w:rPr>
                <w:t xml:space="preserve">Réforme du droit des contrats concernant l’exception d’inexécution : consolidation de la jurisprudence et innovation avec l’exception anticipative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0" w:history="1">
              <w:r>
                <w:rPr>
                  <w:color w:val="#410a8c"/>
                  <w:u w:val="single"/>
                </w:rPr>
                <w:t xml:space="preserve">hal-02502966v1</w:t>
              </w:r>
            </w:hyperlink>
          </w:p>
        </w:tc>
      </w:tr>
      <w:tr>
        <w:trPr/>
        <w:tc>
          <w:tcPr>
            <w:noWrap/>
          </w:tcPr>
          <w:p>
            <w:pPr>
              <w:spacing w:after="200"/>
            </w:pPr>
            <w:hyperlink r:id="rId181" w:history="1">
              <w:r>
                <w:rPr>
                  <w:color w:val="1e198e"/>
                  <w:b w:val="1"/>
                  <w:bCs w:val="1"/>
                  <w:u w:val="single"/>
                </w:rPr>
                <w:t xml:space="preserve">Réforme du droit des contrats : l’éventail des sanctions en cas d’inexécution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1" w:history="1">
              <w:r>
                <w:rPr>
                  <w:color w:val="#410a8c"/>
                  <w:u w:val="single"/>
                </w:rPr>
                <w:t xml:space="preserve">hal-02502960v1</w:t>
              </w:r>
            </w:hyperlink>
          </w:p>
        </w:tc>
      </w:tr>
      <w:tr>
        <w:trPr/>
        <w:tc>
          <w:tcPr>
            <w:noWrap/>
          </w:tcPr>
          <w:p>
            <w:pPr>
              <w:spacing w:after="200"/>
            </w:pPr>
            <w:hyperlink r:id="rId182" w:history="1">
              <w:r>
                <w:rPr>
                  <w:color w:val="1e198e"/>
                  <w:b w:val="1"/>
                  <w:bCs w:val="1"/>
                  <w:u w:val="single"/>
                </w:rPr>
                <w:t xml:space="preserve">La loi du 24 juin 2016 ajoute un nouveau critère de discrimination, fondé sur « la particulière vulnérabilité résultant de la situation économique, apparente ou connue de son auteur »</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2" w:history="1">
              <w:r>
                <w:rPr>
                  <w:color w:val="#410a8c"/>
                  <w:u w:val="single"/>
                </w:rPr>
                <w:t xml:space="preserve">hal-02503044v1</w:t>
              </w:r>
            </w:hyperlink>
          </w:p>
        </w:tc>
      </w:tr>
      <w:tr>
        <w:trPr/>
        <w:tc>
          <w:tcPr>
            <w:noWrap/>
          </w:tcPr>
          <w:p>
            <w:pPr>
              <w:spacing w:after="200"/>
            </w:pPr>
            <w:hyperlink r:id="rId183" w:history="1">
              <w:r>
                <w:rPr>
                  <w:color w:val="1e198e"/>
                  <w:b w:val="1"/>
                  <w:bCs w:val="1"/>
                  <w:u w:val="single"/>
                </w:rPr>
                <w:t xml:space="preserve">Caution – Les biens pris en compte dans le patrimoine de la caution pour apprécier la proportionnalité du cautionnement</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3" w:history="1">
              <w:r>
                <w:rPr>
                  <w:color w:val="#410a8c"/>
                  <w:u w:val="single"/>
                </w:rPr>
                <w:t xml:space="preserve">hal-02503002v1</w:t>
              </w:r>
            </w:hyperlink>
          </w:p>
        </w:tc>
      </w:tr>
      <w:tr>
        <w:trPr/>
        <w:tc>
          <w:tcPr>
            <w:noWrap/>
          </w:tcPr>
          <w:p>
            <w:pPr>
              <w:spacing w:after="200"/>
            </w:pPr>
            <w:hyperlink r:id="rId184" w:history="1">
              <w:r>
                <w:rPr>
                  <w:color w:val="1e198e"/>
                  <w:b w:val="1"/>
                  <w:bCs w:val="1"/>
                  <w:u w:val="single"/>
                </w:rPr>
                <w:t xml:space="preserve">L’intérêt à agir du voisin immédiat d’une opération de construction, de démolition ou d’aménagement qui entend contester l’autorisation d’urbanisme : le Conseil d’Etat persiste et signe !</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4" w:history="1">
              <w:r>
                <w:rPr>
                  <w:color w:val="#410a8c"/>
                  <w:u w:val="single"/>
                </w:rPr>
                <w:t xml:space="preserve">hal-02503031v1</w:t>
              </w:r>
            </w:hyperlink>
          </w:p>
        </w:tc>
      </w:tr>
      <w:tr>
        <w:trPr/>
        <w:tc>
          <w:tcPr>
            <w:noWrap/>
          </w:tcPr>
          <w:p>
            <w:pPr>
              <w:spacing w:after="200"/>
            </w:pPr>
            <w:hyperlink r:id="rId185" w:history="1">
              <w:r>
                <w:rPr>
                  <w:color w:val="1e198e"/>
                  <w:b w:val="1"/>
                  <w:bCs w:val="1"/>
                  <w:u w:val="single"/>
                </w:rPr>
                <w:t xml:space="preserve">Un fonds destiné à l’habitation est enclavé lorsqu’on ne peut pas y accéder en voiture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5" w:history="1">
              <w:r>
                <w:rPr>
                  <w:color w:val="#410a8c"/>
                  <w:u w:val="single"/>
                </w:rPr>
                <w:t xml:space="preserve">hal-02503008v1</w:t>
              </w:r>
            </w:hyperlink>
          </w:p>
        </w:tc>
      </w:tr>
      <w:tr>
        <w:trPr/>
        <w:tc>
          <w:tcPr>
            <w:noWrap/>
          </w:tcPr>
          <w:p>
            <w:pPr>
              <w:spacing w:after="200"/>
            </w:pPr>
            <w:hyperlink r:id="rId186" w:history="1">
              <w:r>
                <w:rPr>
                  <w:color w:val="1e198e"/>
                  <w:b w:val="1"/>
                  <w:bCs w:val="1"/>
                  <w:u w:val="single"/>
                </w:rPr>
                <w:t xml:space="preserve">Réforme du droit des contrats : du nouveau pour la promesse unilatérale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6" w:history="1">
              <w:r>
                <w:rPr>
                  <w:color w:val="#410a8c"/>
                  <w:u w:val="single"/>
                </w:rPr>
                <w:t xml:space="preserve">hal-02502932v1</w:t>
              </w:r>
            </w:hyperlink>
          </w:p>
        </w:tc>
      </w:tr>
      <w:tr>
        <w:trPr/>
        <w:tc>
          <w:tcPr>
            <w:noWrap/>
          </w:tcPr>
          <w:p>
            <w:pPr>
              <w:spacing w:after="200"/>
            </w:pPr>
            <w:hyperlink r:id="rId187" w:history="1">
              <w:r>
                <w:rPr>
                  <w:color w:val="1e198e"/>
                  <w:b w:val="1"/>
                  <w:bCs w:val="1"/>
                  <w:u w:val="single"/>
                </w:rPr>
                <w:t xml:space="preserve">Incompétence du juge de l’exécution pour statuer sur une demande de répétition de l’indû</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7" w:history="1">
              <w:r>
                <w:rPr>
                  <w:color w:val="#410a8c"/>
                  <w:u w:val="single"/>
                </w:rPr>
                <w:t xml:space="preserve">hal-02502866v1</w:t>
              </w:r>
            </w:hyperlink>
          </w:p>
        </w:tc>
      </w:tr>
      <w:tr>
        <w:trPr/>
        <w:tc>
          <w:tcPr>
            <w:noWrap/>
          </w:tcPr>
          <w:p>
            <w:pPr>
              <w:spacing w:after="200"/>
            </w:pPr>
            <w:hyperlink r:id="rId188" w:history="1">
              <w:r>
                <w:rPr>
                  <w:color w:val="1e198e"/>
                  <w:b w:val="1"/>
                  <w:bCs w:val="1"/>
                  <w:u w:val="single"/>
                </w:rPr>
                <w:t xml:space="preserve">En matière de filiation, l’intérêt supérieur de l’enfant n’est pas un motif légitime permettant de refuser une expertise biologique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8" w:history="1">
              <w:r>
                <w:rPr>
                  <w:color w:val="#410a8c"/>
                  <w:u w:val="single"/>
                </w:rPr>
                <w:t xml:space="preserve">hal-02503026v1</w:t>
              </w:r>
            </w:hyperlink>
          </w:p>
        </w:tc>
      </w:tr>
      <w:tr>
        <w:trPr/>
        <w:tc>
          <w:tcPr>
            <w:noWrap/>
          </w:tcPr>
          <w:p>
            <w:pPr>
              <w:spacing w:after="200"/>
            </w:pPr>
            <w:hyperlink r:id="rId189" w:history="1">
              <w:r>
                <w:rPr>
                  <w:color w:val="1e198e"/>
                  <w:b w:val="1"/>
                  <w:bCs w:val="1"/>
                  <w:u w:val="single"/>
                </w:rPr>
                <w:t xml:space="preserve">Nouvelles dispositions relatives aux commissaires aux comptes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9" w:history="1">
              <w:r>
                <w:rPr>
                  <w:color w:val="#410a8c"/>
                  <w:u w:val="single"/>
                </w:rPr>
                <w:t xml:space="preserve">hal-02503056v1</w:t>
              </w:r>
            </w:hyperlink>
          </w:p>
        </w:tc>
      </w:tr>
      <w:tr>
        <w:trPr/>
        <w:tc>
          <w:tcPr>
            <w:noWrap/>
          </w:tcPr>
          <w:p>
            <w:pPr>
              <w:spacing w:after="200"/>
            </w:pPr>
            <w:hyperlink r:id="rId190" w:history="1">
              <w:r>
                <w:rPr>
                  <w:color w:val="1e198e"/>
                  <w:b w:val="1"/>
                  <w:bCs w:val="1"/>
                  <w:u w:val="single"/>
                </w:rPr>
                <w:t xml:space="preserve">Point de départ du délai de prescription du crédit immobilier consenti à un consommateur</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0" w:history="1">
              <w:r>
                <w:rPr>
                  <w:color w:val="#410a8c"/>
                  <w:u w:val="single"/>
                </w:rPr>
                <w:t xml:space="preserve">hal-02502918v1</w:t>
              </w:r>
            </w:hyperlink>
          </w:p>
        </w:tc>
      </w:tr>
      <w:tr>
        <w:trPr/>
        <w:tc>
          <w:tcPr>
            <w:noWrap/>
          </w:tcPr>
          <w:p>
            <w:pPr>
              <w:spacing w:after="200"/>
            </w:pPr>
            <w:hyperlink r:id="rId191" w:history="1">
              <w:r>
                <w:rPr>
                  <w:color w:val="1e198e"/>
                  <w:b w:val="1"/>
                  <w:bCs w:val="1"/>
                  <w:u w:val="single"/>
                </w:rPr>
                <w:t xml:space="preserve">Le point de départ du délai de prescription de l’action de deux époux pour un TEG erroné n’est pas nécessairement le même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1" w:history="1">
              <w:r>
                <w:rPr>
                  <w:color w:val="#410a8c"/>
                  <w:u w:val="single"/>
                </w:rPr>
                <w:t xml:space="preserve">hal-02502986v1</w:t>
              </w:r>
            </w:hyperlink>
          </w:p>
        </w:tc>
      </w:tr>
      <w:tr>
        <w:trPr/>
        <w:tc>
          <w:tcPr>
            <w:noWrap/>
          </w:tcPr>
          <w:p>
            <w:pPr>
              <w:spacing w:after="200"/>
            </w:pPr>
            <w:hyperlink r:id="rId192" w:history="1">
              <w:r>
                <w:rPr>
                  <w:color w:val="1e198e"/>
                  <w:b w:val="1"/>
                  <w:bCs w:val="1"/>
                  <w:u w:val="single"/>
                </w:rPr>
                <w:t xml:space="preserve">Le formalisme légal impératif du cautionnement conclu entre une personne physique et un créancier professionnel ne relève pas de l’ordre public international</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2" w:history="1">
              <w:r>
                <w:rPr>
                  <w:color w:val="#410a8c"/>
                  <w:u w:val="single"/>
                </w:rPr>
                <w:t xml:space="preserve">hal-02502882v1</w:t>
              </w:r>
            </w:hyperlink>
          </w:p>
        </w:tc>
      </w:tr>
      <w:tr>
        <w:trPr/>
        <w:tc>
          <w:tcPr>
            <w:noWrap/>
          </w:tcPr>
          <w:p>
            <w:pPr>
              <w:spacing w:after="200"/>
            </w:pPr>
            <w:hyperlink r:id="rId193" w:history="1">
              <w:r>
                <w:rPr>
                  <w:color w:val="1e198e"/>
                  <w:b w:val="1"/>
                  <w:bCs w:val="1"/>
                  <w:u w:val="single"/>
                </w:rPr>
                <w:t xml:space="preserve">Retrait d’une SCP de médecins : le TGI n’est pas compétent pour désigner l’expert chargé d’évaluer les parts sociales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3" w:history="1">
              <w:r>
                <w:rPr>
                  <w:color w:val="#410a8c"/>
                  <w:u w:val="single"/>
                </w:rPr>
                <w:t xml:space="preserve">hal-02502877v1</w:t>
              </w:r>
            </w:hyperlink>
          </w:p>
        </w:tc>
      </w:tr>
      <w:tr>
        <w:trPr/>
        <w:tc>
          <w:tcPr>
            <w:noWrap/>
          </w:tcPr>
          <w:p>
            <w:pPr>
              <w:spacing w:after="200"/>
            </w:pPr>
            <w:hyperlink r:id="rId194" w:history="1">
              <w:r>
                <w:rPr>
                  <w:color w:val="1e198e"/>
                  <w:b w:val="1"/>
                  <w:bCs w:val="1"/>
                  <w:u w:val="single"/>
                </w:rPr>
                <w:t xml:space="preserve">Date de naissance de l’hypothèque judiciaire dans le cadre du recours subrogatoire d’un notaire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4" w:history="1">
              <w:r>
                <w:rPr>
                  <w:color w:val="#410a8c"/>
                  <w:u w:val="single"/>
                </w:rPr>
                <w:t xml:space="preserve">hal-02502849v1</w:t>
              </w:r>
            </w:hyperlink>
          </w:p>
        </w:tc>
      </w:tr>
      <w:tr>
        <w:trPr/>
        <w:tc>
          <w:tcPr>
            <w:noWrap/>
          </w:tcPr>
          <w:p>
            <w:pPr>
              <w:spacing w:after="200"/>
            </w:pPr>
            <w:hyperlink r:id="rId195" w:history="1">
              <w:r>
                <w:rPr>
                  <w:color w:val="1e198e"/>
                  <w:b w:val="1"/>
                  <w:bCs w:val="1"/>
                  <w:u w:val="single"/>
                </w:rPr>
                <w:t xml:space="preserve">Réforme du droit des contrats : la sanction de la réduction du prix entre dans le Code civil</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5" w:history="1">
              <w:r>
                <w:rPr>
                  <w:color w:val="#410a8c"/>
                  <w:u w:val="single"/>
                </w:rPr>
                <w:t xml:space="preserve">hal-02502969v1</w:t>
              </w:r>
            </w:hyperlink>
          </w:p>
        </w:tc>
      </w:tr>
      <w:tr>
        <w:trPr/>
        <w:tc>
          <w:tcPr>
            <w:noWrap/>
          </w:tcPr>
          <w:p>
            <w:pPr>
              <w:spacing w:after="200"/>
            </w:pPr>
            <w:hyperlink r:id="rId196" w:history="1">
              <w:r>
                <w:rPr>
                  <w:color w:val="1e198e"/>
                  <w:b w:val="1"/>
                  <w:bCs w:val="1"/>
                  <w:u w:val="single"/>
                </w:rPr>
                <w:t xml:space="preserve">Le caractère supplétif de la réforme du droit des contrats et ses limites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6" w:history="1">
              <w:r>
                <w:rPr>
                  <w:color w:val="#410a8c"/>
                  <w:u w:val="single"/>
                </w:rPr>
                <w:t xml:space="preserve">hal-02502929v1</w:t>
              </w:r>
            </w:hyperlink>
          </w:p>
        </w:tc>
      </w:tr>
      <w:tr>
        <w:trPr/>
        <w:tc>
          <w:tcPr>
            <w:noWrap/>
          </w:tcPr>
          <w:p>
            <w:pPr>
              <w:spacing w:after="200"/>
            </w:pPr>
            <w:hyperlink r:id="rId197" w:history="1">
              <w:r>
                <w:rPr>
                  <w:color w:val="1e198e"/>
                  <w:b w:val="1"/>
                  <w:bCs w:val="1"/>
                  <w:u w:val="single"/>
                </w:rPr>
                <w:t xml:space="preserve">Les objectifs de la réforme du droit des contrats par l’ordonnance du 10 février 2016</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7" w:history="1">
              <w:r>
                <w:rPr>
                  <w:color w:val="#410a8c"/>
                  <w:u w:val="single"/>
                </w:rPr>
                <w:t xml:space="preserve">hal-02502906v1</w:t>
              </w:r>
            </w:hyperlink>
          </w:p>
        </w:tc>
      </w:tr>
      <w:tr>
        <w:trPr/>
        <w:tc>
          <w:tcPr>
            <w:noWrap/>
          </w:tcPr>
          <w:p>
            <w:pPr>
              <w:spacing w:after="200"/>
            </w:pPr>
            <w:hyperlink r:id="rId198" w:history="1">
              <w:r>
                <w:rPr>
                  <w:color w:val="1e198e"/>
                  <w:b w:val="1"/>
                  <w:bCs w:val="1"/>
                  <w:u w:val="single"/>
                </w:rPr>
                <w:t xml:space="preserve">Recours pour excès de pouvoir contre les actes relevant du droit « souple » : le Conseil d’Etat élargit les hypothèses de recours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8" w:history="1">
              <w:r>
                <w:rPr>
                  <w:color w:val="#410a8c"/>
                  <w:u w:val="single"/>
                </w:rPr>
                <w:t xml:space="preserve">hal-02502981v1</w:t>
              </w:r>
            </w:hyperlink>
          </w:p>
        </w:tc>
      </w:tr>
      <w:tr>
        <w:trPr/>
        <w:tc>
          <w:tcPr>
            <w:noWrap/>
          </w:tcPr>
          <w:p>
            <w:pPr>
              <w:spacing w:after="200"/>
            </w:pPr>
            <w:hyperlink r:id="rId199" w:history="1">
              <w:r>
                <w:rPr>
                  <w:color w:val="1e198e"/>
                  <w:b w:val="1"/>
                  <w:bCs w:val="1"/>
                  <w:u w:val="single"/>
                </w:rPr>
                <w:t xml:space="preserve">Réforme du droit des contrats : du nouveau sur les vices du consentement</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9" w:history="1">
              <w:r>
                <w:rPr>
                  <w:color w:val="#410a8c"/>
                  <w:u w:val="single"/>
                </w:rPr>
                <w:t xml:space="preserve">hal-02502951v1</w:t>
              </w:r>
            </w:hyperlink>
          </w:p>
        </w:tc>
      </w:tr>
      <w:tr>
        <w:trPr/>
        <w:tc>
          <w:tcPr>
            <w:noWrap/>
          </w:tcPr>
          <w:p>
            <w:pPr>
              <w:spacing w:after="200"/>
            </w:pPr>
            <w:hyperlink r:id="rId200" w:history="1">
              <w:r>
                <w:rPr>
                  <w:color w:val="1e198e"/>
                  <w:b w:val="1"/>
                  <w:bCs w:val="1"/>
                  <w:u w:val="single"/>
                </w:rPr>
                <w:t xml:space="preserve">Le concubin n’est pas un « membre de la famille » au sens de l’article L.2213-14 du Code général des collectivités territoriales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0" w:history="1">
              <w:r>
                <w:rPr>
                  <w:color w:val="#410a8c"/>
                  <w:u w:val="single"/>
                </w:rPr>
                <w:t xml:space="preserve">hal-02503020v1</w:t>
              </w:r>
            </w:hyperlink>
          </w:p>
        </w:tc>
      </w:tr>
      <w:tr>
        <w:trPr/>
        <w:tc>
          <w:tcPr>
            <w:noWrap/>
          </w:tcPr>
          <w:p>
            <w:pPr>
              <w:spacing w:after="200"/>
            </w:pPr>
            <w:hyperlink r:id="rId201" w:history="1">
              <w:r>
                <w:rPr>
                  <w:color w:val="1e198e"/>
                  <w:b w:val="1"/>
                  <w:bCs w:val="1"/>
                  <w:u w:val="single"/>
                </w:rPr>
                <w:t xml:space="preserve">L’action en nullité d’une cession pour violation d’une clause statutaire d’agrément relève de la prescription triennale, même en cas de fraude alléguée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1" w:history="1">
              <w:r>
                <w:rPr>
                  <w:color w:val="#410a8c"/>
                  <w:u w:val="single"/>
                </w:rPr>
                <w:t xml:space="preserve">hal-02502891v1</w:t>
              </w:r>
            </w:hyperlink>
          </w:p>
        </w:tc>
      </w:tr>
      <w:tr>
        <w:trPr/>
        <w:tc>
          <w:tcPr>
            <w:noWrap/>
          </w:tcPr>
          <w:p>
            <w:pPr>
              <w:spacing w:after="200"/>
            </w:pPr>
            <w:hyperlink r:id="rId202" w:history="1">
              <w:r>
                <w:rPr>
                  <w:color w:val="1e198e"/>
                  <w:b w:val="1"/>
                  <w:bCs w:val="1"/>
                  <w:u w:val="single"/>
                </w:rPr>
                <w:t xml:space="preserve">Du nouveau quant à la preuve de l’existence d’un mandat par un tiers contractant : l’admission de la preuve par tous moyens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2" w:history="1">
              <w:r>
                <w:rPr>
                  <w:color w:val="#410a8c"/>
                  <w:u w:val="single"/>
                </w:rPr>
                <w:t xml:space="preserve">hal-02503006v1</w:t>
              </w:r>
            </w:hyperlink>
          </w:p>
        </w:tc>
      </w:tr>
      <w:tr>
        <w:trPr/>
        <w:tc>
          <w:tcPr>
            <w:noWrap/>
          </w:tcPr>
          <w:p>
            <w:pPr>
              <w:spacing w:after="200"/>
            </w:pPr>
            <w:hyperlink r:id="rId203" w:history="1">
              <w:r>
                <w:rPr>
                  <w:color w:val="1e198e"/>
                  <w:b w:val="1"/>
                  <w:bCs w:val="1"/>
                  <w:u w:val="single"/>
                </w:rPr>
                <w:t xml:space="preserve">La suppression de la clause de compétence générale des départements ne méconnaît pas le principe constitutionnel de libre administration des collectivités territoriales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3" w:history="1">
              <w:r>
                <w:rPr>
                  <w:color w:val="#410a8c"/>
                  <w:u w:val="single"/>
                </w:rPr>
                <w:t xml:space="preserve">hal-02503015v1</w:t>
              </w:r>
            </w:hyperlink>
          </w:p>
        </w:tc>
      </w:tr>
      <w:tr>
        <w:trPr/>
        <w:tc>
          <w:tcPr>
            <w:noWrap/>
          </w:tcPr>
          <w:p>
            <w:pPr>
              <w:spacing w:after="200"/>
            </w:pPr>
            <w:hyperlink r:id="rId204" w:history="1">
              <w:r>
                <w:rPr>
                  <w:color w:val="1e198e"/>
                  <w:b w:val="1"/>
                  <w:bCs w:val="1"/>
                  <w:u w:val="single"/>
                </w:rPr>
                <w:t xml:space="preserve">Réforme du droit des contrats : la disparition de la cause et sa survivance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4" w:history="1">
              <w:r>
                <w:rPr>
                  <w:color w:val="#410a8c"/>
                  <w:u w:val="single"/>
                </w:rPr>
                <w:t xml:space="preserve">hal-02502948v1</w:t>
              </w:r>
            </w:hyperlink>
          </w:p>
        </w:tc>
      </w:tr>
      <w:tr>
        <w:trPr/>
        <w:tc>
          <w:tcPr>
            <w:noWrap/>
          </w:tcPr>
          <w:p>
            <w:pPr>
              <w:spacing w:after="200"/>
            </w:pPr>
            <w:hyperlink r:id="rId205" w:history="1">
              <w:r>
                <w:rPr>
                  <w:color w:val="1e198e"/>
                  <w:b w:val="1"/>
                  <w:bCs w:val="1"/>
                  <w:u w:val="single"/>
                </w:rPr>
                <w:t xml:space="preserve">Gage sur stock conclu dans le cadre d’une opération de crédit avec un établissement de crédit : exclusion du droit commun du gage sans dépossession par l’Assemblée plénière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5" w:history="1">
              <w:r>
                <w:rPr>
                  <w:color w:val="#410a8c"/>
                  <w:u w:val="single"/>
                </w:rPr>
                <w:t xml:space="preserve">hal-02502856v1</w:t>
              </w:r>
            </w:hyperlink>
          </w:p>
        </w:tc>
      </w:tr>
      <w:tr>
        <w:trPr/>
        <w:tc>
          <w:tcPr>
            <w:noWrap/>
          </w:tcPr>
          <w:p>
            <w:pPr>
              <w:spacing w:after="200"/>
            </w:pPr>
            <w:hyperlink r:id="rId206" w:history="1">
              <w:r>
                <w:rPr>
                  <w:color w:val="1e198e"/>
                  <w:b w:val="1"/>
                  <w:bCs w:val="1"/>
                  <w:u w:val="single"/>
                </w:rPr>
                <w:t xml:space="preserve">Réforme du droit des contrats : les nouveautés concernant les sanctions de la résolution et de la résiliation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6" w:history="1">
              <w:r>
                <w:rPr>
                  <w:color w:val="#410a8c"/>
                  <w:u w:val="single"/>
                </w:rPr>
                <w:t xml:space="preserve">hal-02502971v1</w:t>
              </w:r>
            </w:hyperlink>
          </w:p>
        </w:tc>
      </w:tr>
      <w:tr>
        <w:trPr/>
        <w:tc>
          <w:tcPr>
            <w:noWrap/>
          </w:tcPr>
          <w:p>
            <w:pPr>
              <w:spacing w:after="200"/>
            </w:pPr>
            <w:hyperlink r:id="rId207" w:history="1">
              <w:r>
                <w:rPr>
                  <w:color w:val="1e198e"/>
                  <w:b w:val="1"/>
                  <w:bCs w:val="1"/>
                  <w:u w:val="single"/>
                </w:rPr>
                <w:t xml:space="preserve">Pas de droit au respect de la vie privée pour les personnes morales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7" w:history="1">
              <w:r>
                <w:rPr>
                  <w:color w:val="#410a8c"/>
                  <w:u w:val="single"/>
                </w:rPr>
                <w:t xml:space="preserve">hal-02502925v1</w:t>
              </w:r>
            </w:hyperlink>
          </w:p>
        </w:tc>
      </w:tr>
      <w:tr>
        <w:trPr/>
        <w:tc>
          <w:tcPr>
            <w:noWrap/>
          </w:tcPr>
          <w:p>
            <w:pPr>
              <w:spacing w:after="200"/>
            </w:pPr>
            <w:hyperlink r:id="rId208" w:history="1">
              <w:r>
                <w:rPr>
                  <w:color w:val="1e198e"/>
                  <w:b w:val="1"/>
                  <w:bCs w:val="1"/>
                  <w:u w:val="single"/>
                </w:rPr>
                <w:t xml:space="preserve">Compétence du TGI pour prendre une mesure d’expertise in futurum en vue de mettre en cause la responsabilité d’un commissaire aux apports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8" w:history="1">
              <w:r>
                <w:rPr>
                  <w:color w:val="#410a8c"/>
                  <w:u w:val="single"/>
                </w:rPr>
                <w:t xml:space="preserve">hal-02502897v1</w:t>
              </w:r>
            </w:hyperlink>
          </w:p>
        </w:tc>
      </w:tr>
      <w:tr>
        <w:trPr/>
        <w:tc>
          <w:tcPr>
            <w:noWrap/>
          </w:tcPr>
          <w:p>
            <w:pPr>
              <w:spacing w:after="200"/>
            </w:pPr>
            <w:hyperlink r:id="rId209" w:history="1">
              <w:r>
                <w:rPr>
                  <w:color w:val="1e198e"/>
                  <w:b w:val="1"/>
                  <w:bCs w:val="1"/>
                  <w:u w:val="single"/>
                </w:rPr>
                <w:t xml:space="preserve">Nouvelle règle prétorienne pour les recours contre les décisions administratives individuelles ne mentionnant pas les délais et voies de recours : le délai raisonnable de recours est en principe d’un an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9" w:history="1">
              <w:r>
                <w:rPr>
                  <w:color w:val="#410a8c"/>
                  <w:u w:val="single"/>
                </w:rPr>
                <w:t xml:space="preserve">hal-02503048v1</w:t>
              </w:r>
            </w:hyperlink>
          </w:p>
        </w:tc>
      </w:tr>
      <w:tr>
        <w:trPr/>
        <w:tc>
          <w:tcPr>
            <w:noWrap/>
          </w:tcPr>
          <w:p>
            <w:pPr>
              <w:spacing w:after="200"/>
            </w:pPr>
            <w:hyperlink r:id="rId210" w:history="1">
              <w:r>
                <w:rPr>
                  <w:color w:val="1e198e"/>
                  <w:b w:val="1"/>
                  <w:bCs w:val="1"/>
                  <w:u w:val="single"/>
                </w:rPr>
                <w:t xml:space="preserve">Réforme du droit des contrats : les nouvelles dispositions relatives aux contrats d’adhésion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0" w:history="1">
              <w:r>
                <w:rPr>
                  <w:color w:val="#410a8c"/>
                  <w:u w:val="single"/>
                </w:rPr>
                <w:t xml:space="preserve">hal-02502956v1</w:t>
              </w:r>
            </w:hyperlink>
          </w:p>
        </w:tc>
      </w:tr>
      <w:tr>
        <w:trPr/>
        <w:tc>
          <w:tcPr>
            <w:noWrap/>
          </w:tcPr>
          <w:p>
            <w:pPr>
              <w:spacing w:after="200"/>
            </w:pPr>
            <w:hyperlink r:id="rId211" w:history="1">
              <w:r>
                <w:rPr>
                  <w:color w:val="1e198e"/>
                  <w:b w:val="1"/>
                  <w:bCs w:val="1"/>
                  <w:u w:val="single"/>
                </w:rPr>
                <w:t xml:space="preserve">Inopposabilité par la caution de la clause de conciliation du débiteur principal avec le créancier</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1" w:history="1">
              <w:r>
                <w:rPr>
                  <w:color w:val="#410a8c"/>
                  <w:u w:val="single"/>
                </w:rPr>
                <w:t xml:space="preserve">hal-02422134v1</w:t>
              </w:r>
            </w:hyperlink>
          </w:p>
        </w:tc>
      </w:tr>
      <w:tr>
        <w:trPr/>
        <w:tc>
          <w:tcPr>
            <w:noWrap/>
          </w:tcPr>
          <w:p>
            <w:pPr>
              <w:spacing w:after="200"/>
            </w:pPr>
            <w:hyperlink r:id="rId212" w:history="1">
              <w:r>
                <w:rPr>
                  <w:color w:val="1e198e"/>
                  <w:b w:val="1"/>
                  <w:bCs w:val="1"/>
                  <w:u w:val="single"/>
                </w:rPr>
                <w:t xml:space="preserve">Retards de paiement dans les sociétés dotées d’un commissaire aux comptes : de nouvelles obligations d’information dans le rapport de gestion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2" w:history="1">
              <w:r>
                <w:rPr>
                  <w:color w:val="#410a8c"/>
                  <w:u w:val="single"/>
                </w:rPr>
                <w:t xml:space="preserve">hal-02502860v1</w:t>
              </w:r>
            </w:hyperlink>
          </w:p>
        </w:tc>
      </w:tr>
      <w:tr>
        <w:trPr/>
        <w:tc>
          <w:tcPr>
            <w:noWrap/>
          </w:tcPr>
          <w:p>
            <w:pPr>
              <w:spacing w:after="200"/>
            </w:pPr>
            <w:hyperlink r:id="rId213" w:history="1">
              <w:r>
                <w:rPr>
                  <w:color w:val="1e198e"/>
                  <w:b w:val="1"/>
                  <w:bCs w:val="1"/>
                  <w:u w:val="single"/>
                </w:rPr>
                <w:t xml:space="preserve">Le tuteur ne peut pas représenter un incapable dans la requête aux fins d’autoriser son mariage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3" w:history="1">
              <w:r>
                <w:rPr>
                  <w:color w:val="#410a8c"/>
                  <w:u w:val="single"/>
                </w:rPr>
                <w:t xml:space="preserve">hal-02502887v1</w:t>
              </w:r>
            </w:hyperlink>
          </w:p>
        </w:tc>
      </w:tr>
      <w:tr>
        <w:trPr/>
        <w:tc>
          <w:tcPr>
            <w:noWrap/>
          </w:tcPr>
          <w:p>
            <w:pPr>
              <w:spacing w:after="200"/>
            </w:pPr>
            <w:hyperlink r:id="rId214" w:history="1">
              <w:r>
                <w:rPr>
                  <w:color w:val="1e198e"/>
                  <w:b w:val="1"/>
                  <w:bCs w:val="1"/>
                  <w:u w:val="single"/>
                </w:rPr>
                <w:t xml:space="preserve">Ordonnance du 2 avril 2015 sur le portage salarial : un encadrement attendu</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4" w:history="1">
              <w:r>
                <w:rPr>
                  <w:color w:val="#410a8c"/>
                  <w:u w:val="single"/>
                </w:rPr>
                <w:t xml:space="preserve">hal-02422031v1</w:t>
              </w:r>
            </w:hyperlink>
          </w:p>
        </w:tc>
      </w:tr>
      <w:tr>
        <w:trPr/>
        <w:tc>
          <w:tcPr>
            <w:noWrap/>
          </w:tcPr>
          <w:p>
            <w:pPr>
              <w:spacing w:after="200"/>
            </w:pPr>
            <w:hyperlink r:id="rId215" w:history="1">
              <w:r>
                <w:rPr>
                  <w:color w:val="1e198e"/>
                  <w:b w:val="1"/>
                  <w:bCs w:val="1"/>
                  <w:u w:val="single"/>
                </w:rPr>
                <w:t xml:space="preserve">L’interdiction des coupures d’eau est-elle constitutionnelle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5" w:history="1">
              <w:r>
                <w:rPr>
                  <w:color w:val="#410a8c"/>
                  <w:u w:val="single"/>
                </w:rPr>
                <w:t xml:space="preserve">hal-02422030v1</w:t>
              </w:r>
            </w:hyperlink>
          </w:p>
        </w:tc>
      </w:tr>
      <w:tr>
        <w:trPr/>
        <w:tc>
          <w:tcPr>
            <w:noWrap/>
          </w:tcPr>
          <w:p>
            <w:pPr>
              <w:spacing w:after="200"/>
            </w:pPr>
            <w:hyperlink r:id="rId216" w:history="1">
              <w:r>
                <w:rPr>
                  <w:color w:val="1e198e"/>
                  <w:b w:val="1"/>
                  <w:bCs w:val="1"/>
                  <w:u w:val="single"/>
                </w:rPr>
                <w:t xml:space="preserve">Branle-bas de combat à Brûlon (Sarthe) pour réclamer le retour des dirigeants d’une entreprise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6" w:history="1">
              <w:r>
                <w:rPr>
                  <w:color w:val="#410a8c"/>
                  <w:u w:val="single"/>
                </w:rPr>
                <w:t xml:space="preserve">hal-02421951v1</w:t>
              </w:r>
            </w:hyperlink>
          </w:p>
        </w:tc>
      </w:tr>
      <w:tr>
        <w:trPr/>
        <w:tc>
          <w:tcPr>
            <w:noWrap/>
          </w:tcPr>
          <w:p>
            <w:pPr>
              <w:spacing w:after="200"/>
            </w:pPr>
            <w:hyperlink r:id="rId217" w:history="1">
              <w:r>
                <w:rPr>
                  <w:color w:val="1e198e"/>
                  <w:b w:val="1"/>
                  <w:bCs w:val="1"/>
                  <w:u w:val="single"/>
                </w:rPr>
                <w:t xml:space="preserve">Du fichier STIC au fichier TAJ : un progrès pour la démocratie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7" w:history="1">
              <w:r>
                <w:rPr>
                  <w:color w:val="#410a8c"/>
                  <w:u w:val="single"/>
                </w:rPr>
                <w:t xml:space="preserve">hal-02421893v1</w:t>
              </w:r>
            </w:hyperlink>
          </w:p>
        </w:tc>
      </w:tr>
      <w:tr>
        <w:trPr/>
        <w:tc>
          <w:tcPr>
            <w:noWrap/>
          </w:tcPr>
          <w:p>
            <w:pPr>
              <w:spacing w:after="200"/>
            </w:pPr>
            <w:hyperlink r:id="rId218" w:history="1">
              <w:r>
                <w:rPr>
                  <w:color w:val="1e198e"/>
                  <w:b w:val="1"/>
                  <w:bCs w:val="1"/>
                  <w:u w:val="single"/>
                </w:rPr>
                <w:t xml:space="preserve">Obligation d’information des salariés en cas de cession d’entreprise : la loi Macron corrige la loi Hamon</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8" w:history="1">
              <w:r>
                <w:rPr>
                  <w:color w:val="#410a8c"/>
                  <w:u w:val="single"/>
                </w:rPr>
                <w:t xml:space="preserve">hal-02422120v1</w:t>
              </w:r>
            </w:hyperlink>
          </w:p>
        </w:tc>
      </w:tr>
      <w:tr>
        <w:trPr/>
        <w:tc>
          <w:tcPr>
            <w:noWrap/>
          </w:tcPr>
          <w:p>
            <w:pPr>
              <w:spacing w:after="200"/>
            </w:pPr>
            <w:hyperlink r:id="rId219" w:history="1">
              <w:r>
                <w:rPr>
                  <w:color w:val="1e198e"/>
                  <w:b w:val="1"/>
                  <w:bCs w:val="1"/>
                  <w:u w:val="single"/>
                </w:rPr>
                <w:t xml:space="preserve">Open data : Ouverture des données publiques : Libertés administratives / Droits du producteur de base de données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9" w:history="1">
              <w:r>
                <w:rPr>
                  <w:color w:val="#410a8c"/>
                  <w:u w:val="single"/>
                </w:rPr>
                <w:t xml:space="preserve">hal-02421965v1</w:t>
              </w:r>
            </w:hyperlink>
          </w:p>
        </w:tc>
      </w:tr>
      <w:tr>
        <w:trPr/>
        <w:tc>
          <w:tcPr>
            <w:noWrap/>
          </w:tcPr>
          <w:p>
            <w:pPr>
              <w:spacing w:after="200"/>
            </w:pPr>
            <w:hyperlink r:id="rId220" w:history="1">
              <w:r>
                <w:rPr>
                  <w:color w:val="1e198e"/>
                  <w:b w:val="1"/>
                  <w:bCs w:val="1"/>
                  <w:u w:val="single"/>
                </w:rPr>
                <w:t xml:space="preserve">Loi Macron : les conditions du recours aux SEL pour exercer une profession juridique ou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0" w:history="1">
              <w:r>
                <w:rPr>
                  <w:color w:val="#410a8c"/>
                  <w:u w:val="single"/>
                </w:rPr>
                <w:t xml:space="preserve">hal-02422131v1</w:t>
              </w:r>
            </w:hyperlink>
          </w:p>
        </w:tc>
      </w:tr>
      <w:tr>
        <w:trPr/>
        <w:tc>
          <w:tcPr>
            <w:noWrap/>
          </w:tcPr>
          <w:p>
            <w:pPr>
              <w:spacing w:after="200"/>
            </w:pPr>
            <w:hyperlink r:id="rId221" w:history="1">
              <w:r>
                <w:rPr>
                  <w:color w:val="1e198e"/>
                  <w:b w:val="1"/>
                  <w:bCs w:val="1"/>
                  <w:u w:val="single"/>
                </w:rPr>
                <w:t xml:space="preserve">Les « partenariats régionaux d’innovation » : mode d’emploi</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1" w:history="1">
              <w:r>
                <w:rPr>
                  <w:color w:val="#410a8c"/>
                  <w:u w:val="single"/>
                </w:rPr>
                <w:t xml:space="preserve">hal-02421943v1</w:t>
              </w:r>
            </w:hyperlink>
          </w:p>
        </w:tc>
      </w:tr>
      <w:tr>
        <w:trPr/>
        <w:tc>
          <w:tcPr>
            <w:noWrap/>
          </w:tcPr>
          <w:p>
            <w:pPr>
              <w:spacing w:after="200"/>
            </w:pPr>
            <w:hyperlink r:id="rId222" w:history="1">
              <w:r>
                <w:rPr>
                  <w:color w:val="1e198e"/>
                  <w:b w:val="1"/>
                  <w:bCs w:val="1"/>
                  <w:u w:val="single"/>
                </w:rPr>
                <w:t xml:space="preserve">Loi Macron : les conditions du recours aux sociétés de droit commun pour exercer une profession juridique ou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2" w:history="1">
              <w:r>
                <w:rPr>
                  <w:color w:val="#410a8c"/>
                  <w:u w:val="single"/>
                </w:rPr>
                <w:t xml:space="preserve">hal-02422130v1</w:t>
              </w:r>
            </w:hyperlink>
          </w:p>
        </w:tc>
      </w:tr>
      <w:tr>
        <w:trPr/>
        <w:tc>
          <w:tcPr>
            <w:noWrap/>
          </w:tcPr>
          <w:p>
            <w:pPr>
              <w:spacing w:after="200"/>
            </w:pPr>
            <w:hyperlink r:id="rId223" w:history="1">
              <w:r>
                <w:rPr>
                  <w:color w:val="1e198e"/>
                  <w:b w:val="1"/>
                  <w:bCs w:val="1"/>
                  <w:u w:val="single"/>
                </w:rPr>
                <w:t xml:space="preserve">Les activités juridiques ne bénéficient pas du crédit impôt recherche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3" w:history="1">
              <w:r>
                <w:rPr>
                  <w:color w:val="#410a8c"/>
                  <w:u w:val="single"/>
                </w:rPr>
                <w:t xml:space="preserve">hal-02422027v1</w:t>
              </w:r>
            </w:hyperlink>
          </w:p>
        </w:tc>
      </w:tr>
      <w:tr>
        <w:trPr/>
        <w:tc>
          <w:tcPr>
            <w:noWrap/>
          </w:tcPr>
          <w:p>
            <w:pPr>
              <w:spacing w:after="200"/>
            </w:pPr>
            <w:hyperlink r:id="rId224" w:history="1">
              <w:r>
                <w:rPr>
                  <w:color w:val="1e198e"/>
                  <w:b w:val="1"/>
                  <w:bCs w:val="1"/>
                  <w:u w:val="single"/>
                </w:rPr>
                <w:t xml:space="preserve">Le nombre minimum d’actionnaires dans une SA est réduit à deux</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4" w:history="1">
              <w:r>
                <w:rPr>
                  <w:color w:val="#410a8c"/>
                  <w:u w:val="single"/>
                </w:rPr>
                <w:t xml:space="preserve">hal-02422127v1</w:t>
              </w:r>
            </w:hyperlink>
          </w:p>
        </w:tc>
      </w:tr>
      <w:tr>
        <w:trPr/>
        <w:tc>
          <w:tcPr>
            <w:noWrap/>
          </w:tcPr>
          <w:p>
            <w:pPr>
              <w:spacing w:after="200"/>
            </w:pPr>
            <w:hyperlink r:id="rId225" w:history="1">
              <w:r>
                <w:rPr>
                  <w:color w:val="1e198e"/>
                  <w:b w:val="1"/>
                  <w:bCs w:val="1"/>
                  <w:u w:val="single"/>
                </w:rPr>
                <w:t xml:space="preserve">Décret du 17 août 2015 sur les copropriétés en difficulté</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5" w:history="1">
              <w:r>
                <w:rPr>
                  <w:color w:val="#410a8c"/>
                  <w:u w:val="single"/>
                </w:rPr>
                <w:t xml:space="preserve">hal-02502824v1</w:t>
              </w:r>
            </w:hyperlink>
          </w:p>
        </w:tc>
      </w:tr>
      <w:tr>
        <w:trPr/>
        <w:tc>
          <w:tcPr>
            <w:noWrap/>
          </w:tcPr>
          <w:p>
            <w:pPr>
              <w:spacing w:after="200"/>
            </w:pPr>
            <w:hyperlink r:id="rId226" w:history="1">
              <w:r>
                <w:rPr>
                  <w:color w:val="1e198e"/>
                  <w:b w:val="1"/>
                  <w:bCs w:val="1"/>
                  <w:u w:val="single"/>
                </w:rPr>
                <w:t xml:space="preserve">GPA et nationalité : Les enfants nés d’une GPA à l’étranger sont-ils des citoyens français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6" w:history="1">
              <w:r>
                <w:rPr>
                  <w:color w:val="#410a8c"/>
                  <w:u w:val="single"/>
                </w:rPr>
                <w:t xml:space="preserve">hal-02422049v1</w:t>
              </w:r>
            </w:hyperlink>
          </w:p>
        </w:tc>
      </w:tr>
      <w:tr>
        <w:trPr/>
        <w:tc>
          <w:tcPr>
            <w:noWrap/>
          </w:tcPr>
          <w:p>
            <w:pPr>
              <w:spacing w:after="200"/>
            </w:pPr>
            <w:hyperlink r:id="rId227" w:history="1">
              <w:r>
                <w:rPr>
                  <w:color w:val="1e198e"/>
                  <w:b w:val="1"/>
                  <w:bCs w:val="1"/>
                  <w:u w:val="single"/>
                </w:rPr>
                <w:t xml:space="preserve">Après la fusion des régions vient celle des petites communes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7" w:history="1">
              <w:r>
                <w:rPr>
                  <w:color w:val="#410a8c"/>
                  <w:u w:val="single"/>
                </w:rPr>
                <w:t xml:space="preserve">hal-02421962v1</w:t>
              </w:r>
            </w:hyperlink>
          </w:p>
        </w:tc>
      </w:tr>
      <w:tr>
        <w:trPr/>
        <w:tc>
          <w:tcPr>
            <w:noWrap/>
          </w:tcPr>
          <w:p>
            <w:pPr>
              <w:spacing w:after="200"/>
            </w:pPr>
            <w:hyperlink r:id="rId228" w:history="1">
              <w:r>
                <w:rPr>
                  <w:color w:val="1e198e"/>
                  <w:b w:val="1"/>
                  <w:bCs w:val="1"/>
                  <w:u w:val="single"/>
                </w:rPr>
                <w:t xml:space="preserve">Entrée en vigueur du compte prévention pénibilité</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8" w:history="1">
              <w:r>
                <w:rPr>
                  <w:color w:val="#410a8c"/>
                  <w:u w:val="single"/>
                </w:rPr>
                <w:t xml:space="preserve">hal-02421927v1</w:t>
              </w:r>
            </w:hyperlink>
          </w:p>
        </w:tc>
      </w:tr>
      <w:tr>
        <w:trPr/>
        <w:tc>
          <w:tcPr>
            <w:noWrap/>
          </w:tcPr>
          <w:p>
            <w:pPr>
              <w:spacing w:after="200"/>
            </w:pPr>
            <w:hyperlink r:id="rId229" w:history="1">
              <w:r>
                <w:rPr>
                  <w:color w:val="1e198e"/>
                  <w:b w:val="1"/>
                  <w:bCs w:val="1"/>
                  <w:u w:val="single"/>
                </w:rPr>
                <w:t xml:space="preserve">Loi antiterroriste : liberté de circulation, légalité des délits et institution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9" w:history="1">
              <w:r>
                <w:rPr>
                  <w:color w:val="#410a8c"/>
                  <w:u w:val="single"/>
                </w:rPr>
                <w:t xml:space="preserve">hal-02421922v1</w:t>
              </w:r>
            </w:hyperlink>
          </w:p>
        </w:tc>
      </w:tr>
      <w:tr>
        <w:trPr/>
        <w:tc>
          <w:tcPr>
            <w:noWrap/>
          </w:tcPr>
          <w:p>
            <w:pPr>
              <w:spacing w:after="200"/>
            </w:pPr>
            <w:hyperlink r:id="rId230" w:history="1">
              <w:r>
                <w:rPr>
                  <w:color w:val="1e198e"/>
                  <w:b w:val="1"/>
                  <w:bCs w:val="1"/>
                  <w:u w:val="single"/>
                </w:rPr>
                <w:t xml:space="preserve">Mise en demeure de Google par la CNIL : pour un déréférencement mondial</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0" w:history="1">
              <w:r>
                <w:rPr>
                  <w:color w:val="#410a8c"/>
                  <w:u w:val="single"/>
                </w:rPr>
                <w:t xml:space="preserve">hal-02422115v1</w:t>
              </w:r>
            </w:hyperlink>
          </w:p>
        </w:tc>
      </w:tr>
      <w:tr>
        <w:trPr/>
        <w:tc>
          <w:tcPr>
            <w:noWrap/>
          </w:tcPr>
          <w:p>
            <w:pPr>
              <w:spacing w:after="200"/>
            </w:pPr>
            <w:hyperlink r:id="rId231" w:history="1">
              <w:r>
                <w:rPr>
                  <w:color w:val="1e198e"/>
                  <w:b w:val="1"/>
                  <w:bCs w:val="1"/>
                  <w:u w:val="single"/>
                </w:rPr>
                <w:t xml:space="preserve">Les risques d’une médiation menée par la société-mère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1" w:history="1">
              <w:r>
                <w:rPr>
                  <w:color w:val="#410a8c"/>
                  <w:u w:val="single"/>
                </w:rPr>
                <w:t xml:space="preserve">hal-02422052v1</w:t>
              </w:r>
            </w:hyperlink>
          </w:p>
        </w:tc>
      </w:tr>
      <w:tr>
        <w:trPr/>
        <w:tc>
          <w:tcPr>
            <w:noWrap/>
          </w:tcPr>
          <w:p>
            <w:pPr>
              <w:spacing w:after="200"/>
            </w:pPr>
            <w:hyperlink r:id="rId232" w:history="1">
              <w:r>
                <w:rPr>
                  <w:color w:val="1e198e"/>
                  <w:b w:val="1"/>
                  <w:bCs w:val="1"/>
                  <w:u w:val="single"/>
                </w:rPr>
                <w:t xml:space="preserve">Loi Macron : la non-publication du compte de résultat des petites entreprises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2" w:history="1">
              <w:r>
                <w:rPr>
                  <w:color w:val="#410a8c"/>
                  <w:u w:val="single"/>
                </w:rPr>
                <w:t xml:space="preserve">hal-02422128v1</w:t>
              </w:r>
            </w:hyperlink>
          </w:p>
        </w:tc>
      </w:tr>
      <w:tr>
        <w:trPr/>
        <w:tc>
          <w:tcPr>
            <w:noWrap/>
          </w:tcPr>
          <w:p>
            <w:pPr>
              <w:spacing w:after="200"/>
            </w:pPr>
            <w:hyperlink r:id="rId233" w:history="1">
              <w:r>
                <w:rPr>
                  <w:color w:val="1e198e"/>
                  <w:b w:val="1"/>
                  <w:bCs w:val="1"/>
                  <w:u w:val="single"/>
                </w:rPr>
                <w:t xml:space="preserve">Loi NOTRe, Nouvelle Organisation Territoriale de la République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3" w:history="1">
              <w:r>
                <w:rPr>
                  <w:color w:val="#410a8c"/>
                  <w:u w:val="single"/>
                </w:rPr>
                <w:t xml:space="preserve">hal-02422126v1</w:t>
              </w:r>
            </w:hyperlink>
          </w:p>
        </w:tc>
      </w:tr>
      <w:tr>
        <w:trPr/>
        <w:tc>
          <w:tcPr>
            <w:noWrap/>
          </w:tcPr>
          <w:p>
            <w:pPr>
              <w:spacing w:after="200"/>
            </w:pPr>
            <w:hyperlink r:id="rId234" w:history="1">
              <w:r>
                <w:rPr>
                  <w:color w:val="1e198e"/>
                  <w:b w:val="1"/>
                  <w:bCs w:val="1"/>
                  <w:u w:val="single"/>
                </w:rPr>
                <w:t xml:space="preserve">Toilettage du label « fait maison » des restaurateurs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4" w:history="1">
              <w:r>
                <w:rPr>
                  <w:color w:val="#410a8c"/>
                  <w:u w:val="single"/>
                </w:rPr>
                <w:t xml:space="preserve">hal-02422041v1</w:t>
              </w:r>
            </w:hyperlink>
          </w:p>
        </w:tc>
      </w:tr>
      <w:tr>
        <w:trPr/>
        <w:tc>
          <w:tcPr>
            <w:noWrap/>
          </w:tcPr>
          <w:p>
            <w:pPr>
              <w:spacing w:after="200"/>
            </w:pPr>
            <w:hyperlink r:id="rId235" w:history="1">
              <w:r>
                <w:rPr>
                  <w:color w:val="1e198e"/>
                  <w:b w:val="1"/>
                  <w:bCs w:val="1"/>
                  <w:u w:val="single"/>
                </w:rPr>
                <w:t xml:space="preserve">Poursuite de Bouygues pour les travailleurs détachés de l’EPR de Flamanville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5" w:history="1">
              <w:r>
                <w:rPr>
                  <w:color w:val="#410a8c"/>
                  <w:u w:val="single"/>
                </w:rPr>
                <w:t xml:space="preserve">hal-02422021v1</w:t>
              </w:r>
            </w:hyperlink>
          </w:p>
        </w:tc>
      </w:tr>
      <w:tr>
        <w:trPr/>
        <w:tc>
          <w:tcPr>
            <w:noWrap/>
          </w:tcPr>
          <w:p>
            <w:pPr>
              <w:spacing w:after="200"/>
            </w:pPr>
            <w:hyperlink r:id="rId236" w:history="1">
              <w:r>
                <w:rPr>
                  <w:color w:val="1e198e"/>
                  <w:b w:val="1"/>
                  <w:bCs w:val="1"/>
                  <w:u w:val="single"/>
                </w:rPr>
                <w:t xml:space="preserve">Un avenir sombre pour la Scop SeaFrance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6" w:history="1">
              <w:r>
                <w:rPr>
                  <w:color w:val="#410a8c"/>
                  <w:u w:val="single"/>
                </w:rPr>
                <w:t xml:space="preserve">hal-02422117v1</w:t>
              </w:r>
            </w:hyperlink>
          </w:p>
        </w:tc>
      </w:tr>
      <w:tr>
        <w:trPr/>
        <w:tc>
          <w:tcPr>
            <w:noWrap/>
          </w:tcPr>
          <w:p>
            <w:pPr>
              <w:spacing w:after="200"/>
            </w:pPr>
            <w:hyperlink r:id="rId237" w:history="1">
              <w:r>
                <w:rPr>
                  <w:color w:val="1e198e"/>
                  <w:b w:val="1"/>
                  <w:bCs w:val="1"/>
                  <w:u w:val="single"/>
                </w:rPr>
                <w:t xml:space="preserve">Défaut de raccordement d’un immeuble au réseau public d’assainissement : défaut de conformité ou vice caché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7" w:history="1">
              <w:r>
                <w:rPr>
                  <w:color w:val="#410a8c"/>
                  <w:u w:val="single"/>
                </w:rPr>
                <w:t xml:space="preserve">hal-02422045v1</w:t>
              </w:r>
            </w:hyperlink>
          </w:p>
        </w:tc>
      </w:tr>
      <w:tr>
        <w:trPr/>
        <w:tc>
          <w:tcPr>
            <w:noWrap/>
          </w:tcPr>
          <w:p>
            <w:pPr>
              <w:spacing w:after="200"/>
            </w:pPr>
            <w:hyperlink r:id="rId238" w:history="1">
              <w:r>
                <w:rPr>
                  <w:color w:val="1e198e"/>
                  <w:b w:val="1"/>
                  <w:bCs w:val="1"/>
                  <w:u w:val="single"/>
                </w:rPr>
                <w:t xml:space="preserve">Naissance des « Partenariats régionaux d’innovation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8" w:history="1">
              <w:r>
                <w:rPr>
                  <w:color w:val="#410a8c"/>
                  <w:u w:val="single"/>
                </w:rPr>
                <w:t xml:space="preserve">hal-02421936v1</w:t>
              </w:r>
            </w:hyperlink>
          </w:p>
        </w:tc>
      </w:tr>
      <w:tr>
        <w:trPr/>
        <w:tc>
          <w:tcPr>
            <w:noWrap/>
          </w:tcPr>
          <w:p>
            <w:pPr>
              <w:spacing w:after="200"/>
            </w:pPr>
            <w:hyperlink r:id="rId239" w:history="1">
              <w:r>
                <w:rPr>
                  <w:color w:val="1e198e"/>
                  <w:b w:val="1"/>
                  <w:bCs w:val="1"/>
                  <w:u w:val="single"/>
                </w:rPr>
                <w:t xml:space="preserve">Loi Macron : les conditions du recours aux SEL pour exercer une profession juridique ou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9" w:history="1">
              <w:r>
                <w:rPr>
                  <w:color w:val="#410a8c"/>
                  <w:u w:val="single"/>
                </w:rPr>
                <w:t xml:space="preserve">hal-02502814v1</w:t>
              </w:r>
            </w:hyperlink>
          </w:p>
        </w:tc>
      </w:tr>
      <w:tr>
        <w:trPr/>
        <w:tc>
          <w:tcPr>
            <w:noWrap/>
          </w:tcPr>
          <w:p>
            <w:pPr>
              <w:spacing w:after="200"/>
            </w:pPr>
            <w:hyperlink r:id="rId240" w:history="1">
              <w:r>
                <w:rPr>
                  <w:color w:val="1e198e"/>
                  <w:b w:val="1"/>
                  <w:bCs w:val="1"/>
                  <w:u w:val="single"/>
                </w:rPr>
                <w:t xml:space="preserve">Entrée en vigueur du compte personnel de formation (CPF)</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0" w:history="1">
              <w:r>
                <w:rPr>
                  <w:color w:val="#410a8c"/>
                  <w:u w:val="single"/>
                </w:rPr>
                <w:t xml:space="preserve">hal-02421945v1</w:t>
              </w:r>
            </w:hyperlink>
          </w:p>
        </w:tc>
      </w:tr>
      <w:tr>
        <w:trPr/>
        <w:tc>
          <w:tcPr>
            <w:noWrap/>
          </w:tcPr>
          <w:p>
            <w:pPr>
              <w:spacing w:after="200"/>
            </w:pPr>
            <w:hyperlink r:id="rId241" w:history="1">
              <w:r>
                <w:rPr>
                  <w:color w:val="1e198e"/>
                  <w:b w:val="1"/>
                  <w:bCs w:val="1"/>
                  <w:u w:val="single"/>
                </w:rPr>
                <w:t xml:space="preserve">L’insuffisance des apports consentis à une société lors de sa constitution, une faute de gestion ou non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1" w:history="1">
              <w:r>
                <w:rPr>
                  <w:color w:val="#410a8c"/>
                  <w:u w:val="single"/>
                </w:rPr>
                <w:t xml:space="preserve">hal-02422035v1</w:t>
              </w:r>
            </w:hyperlink>
          </w:p>
        </w:tc>
      </w:tr>
      <w:tr>
        <w:trPr/>
        <w:tc>
          <w:tcPr>
            <w:noWrap/>
          </w:tcPr>
          <w:p>
            <w:pPr>
              <w:spacing w:after="200"/>
            </w:pPr>
            <w:hyperlink r:id="rId242" w:history="1">
              <w:r>
                <w:rPr>
                  <w:color w:val="1e198e"/>
                  <w:b w:val="1"/>
                  <w:bCs w:val="1"/>
                  <w:u w:val="single"/>
                </w:rPr>
                <w:t xml:space="preserve">Le préjudice d’anxiété : de l’amiante aux mines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2" w:history="1">
              <w:r>
                <w:rPr>
                  <w:color w:val="#410a8c"/>
                  <w:u w:val="single"/>
                </w:rPr>
                <w:t xml:space="preserve">hal-02421955v1</w:t>
              </w:r>
            </w:hyperlink>
          </w:p>
        </w:tc>
      </w:tr>
      <w:tr>
        <w:trPr/>
        <w:tc>
          <w:tcPr>
            <w:noWrap/>
          </w:tcPr>
          <w:p>
            <w:pPr>
              <w:spacing w:after="200"/>
            </w:pPr>
            <w:hyperlink r:id="rId243" w:history="1">
              <w:r>
                <w:rPr>
                  <w:color w:val="1e198e"/>
                  <w:b w:val="1"/>
                  <w:bCs w:val="1"/>
                  <w:u w:val="single"/>
                </w:rPr>
                <w:t xml:space="preserve">Décision n° 2015-715 du Conseil constitutionnel du 5 août 2015 sur la loi dite « Macron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3" w:history="1">
              <w:r>
                <w:rPr>
                  <w:color w:val="#410a8c"/>
                  <w:u w:val="single"/>
                </w:rPr>
                <w:t xml:space="preserve">hal-02422124v1</w:t>
              </w:r>
            </w:hyperlink>
          </w:p>
        </w:tc>
      </w:tr>
      <w:tr>
        <w:trPr/>
        <w:tc>
          <w:tcPr>
            <w:noWrap/>
          </w:tcPr>
          <w:p>
            <w:pPr>
              <w:spacing w:after="200"/>
            </w:pPr>
            <w:hyperlink r:id="rId244" w:history="1">
              <w:r>
                <w:rPr>
                  <w:color w:val="1e198e"/>
                  <w:b w:val="1"/>
                  <w:bCs w:val="1"/>
                  <w:u w:val="single"/>
                </w:rPr>
                <w:t xml:space="preserve">La responsabilité personnelle du dirigeant qui trompe volontairement un fournisseur sur la solvabilité de la société</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4" w:history="1">
              <w:r>
                <w:rPr>
                  <w:color w:val="#410a8c"/>
                  <w:u w:val="single"/>
                </w:rPr>
                <w:t xml:space="preserve">hal-02422113v1</w:t>
              </w:r>
            </w:hyperlink>
          </w:p>
        </w:tc>
      </w:tr>
      <w:tr>
        <w:trPr/>
        <w:tc>
          <w:tcPr>
            <w:noWrap/>
          </w:tcPr>
          <w:p>
            <w:pPr>
              <w:spacing w:after="200"/>
            </w:pPr>
            <w:hyperlink r:id="rId245" w:history="1">
              <w:r>
                <w:rPr>
                  <w:color w:val="1e198e"/>
                  <w:b w:val="1"/>
                  <w:bCs w:val="1"/>
                  <w:u w:val="single"/>
                </w:rPr>
                <w:t xml:space="preserve">Lien de subordination, l’autoentrepreneur requalifié en salarié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5" w:history="1">
              <w:r>
                <w:rPr>
                  <w:color w:val="#410a8c"/>
                  <w:u w:val="single"/>
                </w:rPr>
                <w:t xml:space="preserve">hal-02422047v1</w:t>
              </w:r>
            </w:hyperlink>
          </w:p>
        </w:tc>
      </w:tr>
      <w:tr>
        <w:trPr/>
        <w:tc>
          <w:tcPr>
            <w:noWrap/>
          </w:tcPr>
          <w:p>
            <w:pPr>
              <w:spacing w:after="200"/>
            </w:pPr>
            <w:hyperlink r:id="rId246" w:history="1">
              <w:r>
                <w:rPr>
                  <w:color w:val="1e198e"/>
                  <w:b w:val="1"/>
                  <w:bCs w:val="1"/>
                  <w:u w:val="single"/>
                </w:rPr>
                <w:t xml:space="preserve">L’obligation d’immatriculation des auto-entrepreneurs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6" w:history="1">
              <w:r>
                <w:rPr>
                  <w:color w:val="#410a8c"/>
                  <w:u w:val="single"/>
                </w:rPr>
                <w:t xml:space="preserve">hal-02422132v1</w:t>
              </w:r>
            </w:hyperlink>
          </w:p>
        </w:tc>
      </w:tr>
      <w:tr>
        <w:trPr/>
        <w:tc>
          <w:tcPr>
            <w:noWrap/>
          </w:tcPr>
          <w:p>
            <w:pPr>
              <w:spacing w:after="200"/>
            </w:pPr>
            <w:hyperlink r:id="rId247" w:history="1">
              <w:r>
                <w:rPr>
                  <w:color w:val="1e198e"/>
                  <w:b w:val="1"/>
                  <w:bCs w:val="1"/>
                  <w:u w:val="single"/>
                </w:rPr>
                <w:t xml:space="preserve">Loi Macron et crédit inter-entreprises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7" w:history="1">
              <w:r>
                <w:rPr>
                  <w:color w:val="#410a8c"/>
                  <w:u w:val="single"/>
                </w:rPr>
                <w:t xml:space="preserve">hal-02422125v1</w:t>
              </w:r>
            </w:hyperlink>
          </w:p>
        </w:tc>
      </w:tr>
      <w:tr>
        <w:trPr/>
        <w:tc>
          <w:tcPr>
            <w:noWrap/>
          </w:tcPr>
          <w:p>
            <w:pPr>
              <w:spacing w:after="200"/>
            </w:pPr>
            <w:hyperlink r:id="rId248" w:history="1">
              <w:r>
                <w:rPr>
                  <w:color w:val="1e198e"/>
                  <w:b w:val="1"/>
                  <w:bCs w:val="1"/>
                  <w:u w:val="single"/>
                </w:rPr>
                <w:t xml:space="preserve">Conseil constitutionnel, le secret des correspondances ne s’étend pas aux métadonnées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8" w:history="1">
              <w:r>
                <w:rPr>
                  <w:color w:val="#410a8c"/>
                  <w:u w:val="single"/>
                </w:rPr>
                <w:t xml:space="preserve">hal-02422122v1</w:t>
              </w:r>
            </w:hyperlink>
          </w:p>
        </w:tc>
      </w:tr>
      <w:tr>
        <w:trPr/>
        <w:tc>
          <w:tcPr>
            <w:noWrap/>
          </w:tcPr>
          <w:p>
            <w:pPr>
              <w:spacing w:after="200"/>
            </w:pPr>
            <w:hyperlink r:id="rId249" w:history="1">
              <w:r>
                <w:rPr>
                  <w:color w:val="1e198e"/>
                  <w:b w:val="1"/>
                  <w:bCs w:val="1"/>
                  <w:u w:val="single"/>
                </w:rPr>
                <w:t xml:space="preserve">La prévention de l’expulsion des locataires : les apports de la loi ALUR</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9" w:history="1">
              <w:r>
                <w:rPr>
                  <w:color w:val="#410a8c"/>
                  <w:u w:val="single"/>
                </w:rPr>
                <w:t xml:space="preserve">hal-02421958v1</w:t>
              </w:r>
            </w:hyperlink>
          </w:p>
        </w:tc>
      </w:tr>
      <w:tr>
        <w:trPr/>
        <w:tc>
          <w:tcPr>
            <w:noWrap/>
          </w:tcPr>
          <w:p>
            <w:pPr>
              <w:spacing w:after="200"/>
            </w:pPr>
            <w:hyperlink r:id="rId250" w:history="1">
              <w:r>
                <w:rPr>
                  <w:color w:val="1e198e"/>
                  <w:b w:val="1"/>
                  <w:bCs w:val="1"/>
                  <w:u w:val="single"/>
                </w:rPr>
                <w:t xml:space="preserve">Droit à l’anonymisation des sanctions de la CNIL à l’égard des personnes non visées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50" w:history="1">
              <w:r>
                <w:rPr>
                  <w:color w:val="#410a8c"/>
                  <w:u w:val="single"/>
                </w:rPr>
                <w:t xml:space="preserve">hal-02422024v1</w:t>
              </w:r>
            </w:hyperlink>
          </w:p>
        </w:tc>
      </w:tr>
      <w:tr>
        <w:trPr/>
        <w:tc>
          <w:tcPr>
            <w:noWrap/>
          </w:tcPr>
          <w:p>
            <w:pPr>
              <w:spacing w:after="200"/>
            </w:pPr>
            <w:hyperlink r:id="rId251" w:history="1">
              <w:r>
                <w:rPr>
                  <w:color w:val="1e198e"/>
                  <w:b w:val="1"/>
                  <w:bCs w:val="1"/>
                  <w:u w:val="single"/>
                </w:rPr>
                <w:t xml:space="preserve">Bataille de l’eau : la position du Conseil constitutionnel… en attendant celle du Parlement</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51" w:history="1">
              <w:r>
                <w:rPr>
                  <w:color w:val="#410a8c"/>
                  <w:u w:val="single"/>
                </w:rPr>
                <w:t xml:space="preserve">hal-02422102v1</w:t>
              </w:r>
            </w:hyperlink>
          </w:p>
        </w:tc>
      </w:tr>
      <w:tr>
        <w:trPr/>
        <w:tc>
          <w:tcPr>
            <w:noWrap/>
          </w:tcPr>
          <w:p>
            <w:pPr>
              <w:spacing w:after="200"/>
            </w:pPr>
            <w:hyperlink r:id="rId252" w:history="1">
              <w:r>
                <w:rPr>
                  <w:color w:val="1e198e"/>
                  <w:b w:val="1"/>
                  <w:bCs w:val="1"/>
                  <w:u w:val="single"/>
                </w:rPr>
                <w:t xml:space="preserve">CEDH : condamnation de la France pour le fichier STIC (Système de traitement des infractions constatées)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52" w:history="1">
              <w:r>
                <w:rPr>
                  <w:color w:val="#410a8c"/>
                  <w:u w:val="single"/>
                </w:rPr>
                <w:t xml:space="preserve">hal-02421872v1</w:t>
              </w:r>
            </w:hyperlink>
          </w:p>
        </w:tc>
      </w:tr>
      <w:tr>
        <w:trPr/>
        <w:tc>
          <w:tcPr>
            <w:noWrap/>
          </w:tcPr>
          <w:p>
            <w:pPr>
              <w:spacing w:after="200"/>
            </w:pPr>
            <w:hyperlink r:id="rId253" w:history="1">
              <w:r>
                <w:rPr>
                  <w:color w:val="1e198e"/>
                  <w:b w:val="1"/>
                  <w:bCs w:val="1"/>
                  <w:u w:val="single"/>
                </w:rPr>
                <w:t xml:space="preserve">Journée d’étude organisée par la MSHB sur « La gouvernance du littoral ».</w:t>
              </w:r>
            </w:hyperlink>
          </w:p>
          <w:p>
            <w:pPr/>
            <w:hyperlink r:id="rId8" w:history="1">
              <w:r>
                <w:rPr>
                  <w:color w:val="#410a8c"/>
                  <w:u w:val="single"/>
                </w:rPr>
                <w:t xml:space="preserve">Annabel Quin</w:t>
              </w:r>
            </w:hyperlink>
          </w:p>
          <w:p>
            <w:pPr/>
            <w:r>
              <w:rPr/>
              <w:t xml:space="preserve">2008</w:t>
            </w:r>
          </w:p>
          <w:p>
            <w:pPr/>
            <w:r>
              <w:rPr/>
              <w:t xml:space="preserve">Autre publication scientifique</w:t>
            </w:r>
          </w:p>
          <w:p>
            <w:pPr/>
            <w:hyperlink r:id="rId253" w:history="1">
              <w:r>
                <w:rPr>
                  <w:color w:val="#410a8c"/>
                  <w:u w:val="single"/>
                </w:rPr>
                <w:t xml:space="preserve">hal-02616208v1</w:t>
              </w:r>
            </w:hyperlink>
          </w:p>
        </w:tc>
      </w:tr>
      <w:tr>
        <w:trPr/>
        <w:tc>
          <w:tcPr>
            <w:noWrap/>
          </w:tcPr>
          <w:p>
            <w:pPr>
              <w:spacing w:after="200"/>
            </w:pPr>
            <w:hyperlink r:id="rId254" w:history="1">
              <w:r>
                <w:rPr>
                  <w:color w:val="1e198e"/>
                  <w:b w:val="1"/>
                  <w:bCs w:val="1"/>
                  <w:u w:val="single"/>
                </w:rPr>
                <w:t xml:space="preserve">Table ronde sur la gouvernance des PME, organisée par l’IFA et Audencia.</w:t>
              </w:r>
            </w:hyperlink>
          </w:p>
          <w:p>
            <w:pPr/>
            <w:hyperlink r:id="rId8" w:history="1">
              <w:r>
                <w:rPr>
                  <w:color w:val="#410a8c"/>
                  <w:u w:val="single"/>
                </w:rPr>
                <w:t xml:space="preserve">Annabel Quin</w:t>
              </w:r>
            </w:hyperlink>
          </w:p>
          <w:p>
            <w:pPr/>
            <w:r>
              <w:rPr/>
              <w:t xml:space="preserve">2008</w:t>
            </w:r>
          </w:p>
          <w:p>
            <w:pPr/>
            <w:r>
              <w:rPr/>
              <w:t xml:space="preserve">Autre publication scientifique</w:t>
            </w:r>
          </w:p>
          <w:p>
            <w:pPr/>
            <w:hyperlink r:id="rId254" w:history="1">
              <w:r>
                <w:rPr>
                  <w:color w:val="#410a8c"/>
                  <w:u w:val="single"/>
                </w:rPr>
                <w:t xml:space="preserve">hal-02616207v1</w:t>
              </w:r>
            </w:hyperlink>
          </w:p>
        </w:tc>
      </w:tr>
      <w:tr>
        <w:trPr/>
        <w:tc>
          <w:tcPr>
            <w:noWrap/>
          </w:tcPr>
          <w:p>
            <w:pPr>
              <w:spacing w:after="200"/>
            </w:pPr>
            <w:hyperlink r:id="rId255" w:history="1">
              <w:r>
                <w:rPr>
                  <w:color w:val="1e198e"/>
                  <w:b w:val="1"/>
                  <w:bCs w:val="1"/>
                  <w:u w:val="single"/>
                </w:rPr>
                <w:t xml:space="preserve">Sentiments maternels contre sentiments maritaux : la guerre ouverte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5" w:history="1">
              <w:r>
                <w:rPr>
                  <w:color w:val="#410a8c"/>
                  <w:u w:val="single"/>
                </w:rPr>
                <w:t xml:space="preserve">hal-02616196v1</w:t>
              </w:r>
            </w:hyperlink>
          </w:p>
        </w:tc>
      </w:tr>
      <w:tr>
        <w:trPr/>
        <w:tc>
          <w:tcPr>
            <w:noWrap/>
          </w:tcPr>
          <w:p>
            <w:pPr>
              <w:spacing w:after="200"/>
            </w:pPr>
            <w:hyperlink r:id="rId256" w:history="1">
              <w:r>
                <w:rPr>
                  <w:color w:val="1e198e"/>
                  <w:b w:val="1"/>
                  <w:bCs w:val="1"/>
                  <w:u w:val="single"/>
                </w:rPr>
                <w:t xml:space="preserve">Le mariage à trois reçoit la bénédiction du juge !</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6" w:history="1">
              <w:r>
                <w:rPr>
                  <w:color w:val="#410a8c"/>
                  <w:u w:val="single"/>
                </w:rPr>
                <w:t xml:space="preserve">hal-02616195v1</w:t>
              </w:r>
            </w:hyperlink>
          </w:p>
        </w:tc>
      </w:tr>
      <w:tr>
        <w:trPr/>
        <w:tc>
          <w:tcPr>
            <w:noWrap/>
          </w:tcPr>
          <w:p>
            <w:pPr>
              <w:spacing w:after="200"/>
            </w:pPr>
            <w:hyperlink r:id="rId257" w:history="1">
              <w:r>
                <w:rPr>
                  <w:color w:val="1e198e"/>
                  <w:b w:val="1"/>
                  <w:bCs w:val="1"/>
                  <w:u w:val="single"/>
                </w:rPr>
                <w:t xml:space="preserve">Troubles de voisinage : après le chant du coq, les excréments de poule...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7" w:history="1">
              <w:r>
                <w:rPr>
                  <w:color w:val="#410a8c"/>
                  <w:u w:val="single"/>
                </w:rPr>
                <w:t xml:space="preserve">hal-02616109v1</w:t>
              </w:r>
            </w:hyperlink>
          </w:p>
        </w:tc>
      </w:tr>
      <w:tr>
        <w:trPr/>
        <w:tc>
          <w:tcPr>
            <w:noWrap/>
          </w:tcPr>
          <w:p>
            <w:pPr>
              <w:spacing w:after="200"/>
            </w:pPr>
            <w:hyperlink r:id="rId258" w:history="1">
              <w:r>
                <w:rPr>
                  <w:color w:val="1e198e"/>
                  <w:b w:val="1"/>
                  <w:bCs w:val="1"/>
                  <w:u w:val="single"/>
                </w:rPr>
                <w:t xml:space="preserve">Bail d'habitation : l'impossible adoucissement conventionnel de la clause résolutoire ; questions sur la nature juridique de cette stipulation</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8" w:history="1">
              <w:r>
                <w:rPr>
                  <w:color w:val="#410a8c"/>
                  <w:u w:val="single"/>
                </w:rPr>
                <w:t xml:space="preserve">hal-02616110v1</w:t>
              </w:r>
            </w:hyperlink>
          </w:p>
        </w:tc>
      </w:tr>
      <w:tr>
        <w:trPr/>
        <w:tc>
          <w:tcPr>
            <w:noWrap/>
          </w:tcPr>
          <w:p>
            <w:pPr>
              <w:spacing w:after="200"/>
            </w:pPr>
            <w:hyperlink r:id="rId259" w:history="1">
              <w:r>
                <w:rPr>
                  <w:color w:val="1e198e"/>
                  <w:b w:val="1"/>
                  <w:bCs w:val="1"/>
                  <w:u w:val="single"/>
                </w:rPr>
                <w:t xml:space="preserve">Bail commercial : incendie d'origine criminelle et cas fortuit</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9" w:history="1">
              <w:r>
                <w:rPr>
                  <w:color w:val="#410a8c"/>
                  <w:u w:val="single"/>
                </w:rPr>
                <w:t xml:space="preserve">hal-02616100v1</w:t>
              </w:r>
            </w:hyperlink>
          </w:p>
        </w:tc>
      </w:tr>
      <w:tr>
        <w:trPr/>
        <w:tc>
          <w:tcPr>
            <w:noWrap/>
          </w:tcPr>
          <w:p>
            <w:pPr>
              <w:spacing w:after="200"/>
            </w:pPr>
            <w:hyperlink r:id="rId260" w:history="1">
              <w:r>
                <w:rPr>
                  <w:color w:val="1e198e"/>
                  <w:b w:val="1"/>
                  <w:bCs w:val="1"/>
                  <w:u w:val="single"/>
                </w:rPr>
                <w:t xml:space="preserve">Ouverture de crédit à un consommateur : responsabilité de l'établissement bancaire et respect des mentions obligatoires de l'offre préalable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60" w:history="1">
              <w:r>
                <w:rPr>
                  <w:color w:val="#410a8c"/>
                  <w:u w:val="single"/>
                </w:rPr>
                <w:t xml:space="preserve">hal-02616112v1</w:t>
              </w:r>
            </w:hyperlink>
          </w:p>
        </w:tc>
      </w:tr>
      <w:tr>
        <w:trPr/>
        <w:tc>
          <w:tcPr>
            <w:noWrap/>
          </w:tcPr>
          <w:p>
            <w:pPr>
              <w:spacing w:after="200"/>
            </w:pPr>
            <w:hyperlink r:id="rId261" w:history="1">
              <w:r>
                <w:rPr>
                  <w:color w:val="1e198e"/>
                  <w:b w:val="1"/>
                  <w:bCs w:val="1"/>
                  <w:u w:val="single"/>
                </w:rPr>
                <w:t xml:space="preserve">Responsabilité du dépositaire d'un bateau en cas de naufrage : le retrait du nable constitue un cas de force majeure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61" w:history="1">
              <w:r>
                <w:rPr>
                  <w:color w:val="#410a8c"/>
                  <w:u w:val="single"/>
                </w:rPr>
                <w:t xml:space="preserve">hal-02616114v1</w:t>
              </w:r>
            </w:hyperlink>
          </w:p>
        </w:tc>
      </w:tr>
      <w:tr>
        <w:trPr/>
        <w:tc>
          <w:tcPr>
            <w:noWrap/>
          </w:tcPr>
          <w:p>
            <w:pPr>
              <w:spacing w:after="200"/>
            </w:pPr>
            <w:hyperlink r:id="rId262" w:history="1">
              <w:r>
                <w:rPr>
                  <w:color w:val="1e198e"/>
                  <w:b w:val="1"/>
                  <w:bCs w:val="1"/>
                  <w:u w:val="single"/>
                </w:rPr>
                <w:t xml:space="preserve">Vers une disparition de l'obligation de fidélité pendant l'instance en divorce ?</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62" w:history="1">
              <w:r>
                <w:rPr>
                  <w:color w:val="#410a8c"/>
                  <w:u w:val="single"/>
                </w:rPr>
                <w:t xml:space="preserve">hal-02616197v1</w:t>
              </w:r>
            </w:hyperlink>
          </w:p>
        </w:tc>
      </w:tr>
      <w:tr>
        <w:trPr/>
        <w:tc>
          <w:tcPr>
            <w:noWrap/>
          </w:tcPr>
          <w:p>
            <w:pPr>
              <w:spacing w:after="200"/>
            </w:pPr>
            <w:hyperlink r:id="rId263" w:history="1">
              <w:r>
                <w:rPr>
                  <w:color w:val="1e198e"/>
                  <w:b w:val="1"/>
                  <w:bCs w:val="1"/>
                  <w:u w:val="single"/>
                </w:rPr>
                <w:t xml:space="preserve">La naissance d'un enfant ne constitue pas un fait nouveau si sa conception était connue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3" w:history="1">
              <w:r>
                <w:rPr>
                  <w:color w:val="#410a8c"/>
                  <w:u w:val="single"/>
                </w:rPr>
                <w:t xml:space="preserve">hal-02616140v1</w:t>
              </w:r>
            </w:hyperlink>
          </w:p>
        </w:tc>
      </w:tr>
      <w:tr>
        <w:trPr/>
        <w:tc>
          <w:tcPr>
            <w:noWrap/>
          </w:tcPr>
          <w:p>
            <w:pPr>
              <w:spacing w:after="200"/>
            </w:pPr>
            <w:hyperlink r:id="rId264" w:history="1">
              <w:r>
                <w:rPr>
                  <w:color w:val="1e198e"/>
                  <w:b w:val="1"/>
                  <w:bCs w:val="1"/>
                  <w:u w:val="single"/>
                </w:rPr>
                <w:t xml:space="preserve">Le recours des établissements publics de santé contre les débiteurs de l'obligation alimentaire pour le recouvrement des frais d'hospitalisation (art. L.714-38 du C.S.P.)</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4" w:history="1">
              <w:r>
                <w:rPr>
                  <w:color w:val="#410a8c"/>
                  <w:u w:val="single"/>
                </w:rPr>
                <w:t xml:space="preserve">hal-02616144v1</w:t>
              </w:r>
            </w:hyperlink>
          </w:p>
        </w:tc>
      </w:tr>
      <w:tr>
        <w:trPr/>
        <w:tc>
          <w:tcPr>
            <w:noWrap/>
          </w:tcPr>
          <w:p>
            <w:pPr>
              <w:spacing w:after="200"/>
            </w:pPr>
            <w:hyperlink r:id="rId265" w:history="1">
              <w:r>
                <w:rPr>
                  <w:color w:val="1e198e"/>
                  <w:b w:val="1"/>
                  <w:bCs w:val="1"/>
                  <w:u w:val="single"/>
                </w:rPr>
                <w:t xml:space="preserve">La responsabilité du tiers notifié dans la procédure de paiement direct des pensions alimentaires</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5" w:history="1">
              <w:r>
                <w:rPr>
                  <w:color w:val="#410a8c"/>
                  <w:u w:val="single"/>
                </w:rPr>
                <w:t xml:space="preserve">hal-02616143v1</w:t>
              </w:r>
            </w:hyperlink>
          </w:p>
        </w:tc>
      </w:tr>
      <w:tr>
        <w:trPr/>
        <w:tc>
          <w:tcPr>
            <w:noWrap/>
          </w:tcPr>
          <w:p>
            <w:pPr>
              <w:spacing w:after="200"/>
            </w:pPr>
            <w:hyperlink r:id="rId266" w:history="1">
              <w:r>
                <w:rPr>
                  <w:color w:val="1e198e"/>
                  <w:b w:val="1"/>
                  <w:bCs w:val="1"/>
                  <w:u w:val="single"/>
                </w:rPr>
                <w:t xml:space="preserve">Un autre danger du cautionnement : le report du délai de forclusion de l'action en recherche de paternité naturelle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6" w:history="1">
              <w:r>
                <w:rPr>
                  <w:color w:val="#410a8c"/>
                  <w:u w:val="single"/>
                </w:rPr>
                <w:t xml:space="preserve">hal-02616142v1</w:t>
              </w:r>
            </w:hyperlink>
          </w:p>
        </w:tc>
      </w:tr>
      <w:tr>
        <w:trPr/>
        <w:tc>
          <w:tcPr>
            <w:noWrap/>
          </w:tcPr>
          <w:p>
            <w:pPr>
              <w:spacing w:after="200"/>
            </w:pPr>
            <w:hyperlink r:id="rId267" w:history="1">
              <w:r>
                <w:rPr>
                  <w:color w:val="1e198e"/>
                  <w:b w:val="1"/>
                  <w:bCs w:val="1"/>
                  <w:u w:val="single"/>
                </w:rPr>
                <w:t xml:space="preserve">Le concubinage n'est pas le mariage... mais il y ressemble.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7" w:history="1">
              <w:r>
                <w:rPr>
                  <w:color w:val="#410a8c"/>
                  <w:u w:val="single"/>
                </w:rPr>
                <w:t xml:space="preserve">hal-02616199v1</w:t>
              </w:r>
            </w:hyperlink>
          </w:p>
        </w:tc>
      </w:tr>
      <w:tr>
        <w:trPr/>
        <w:tc>
          <w:tcPr>
            <w:noWrap/>
          </w:tcPr>
          <w:p>
            <w:pPr>
              <w:spacing w:after="200"/>
            </w:pPr>
            <w:hyperlink r:id="rId268" w:history="1">
              <w:r>
                <w:rPr>
                  <w:color w:val="1e198e"/>
                  <w:b w:val="1"/>
                  <w:bCs w:val="1"/>
                  <w:u w:val="single"/>
                </w:rPr>
                <w:t xml:space="preserve">Adoption plénière et tierce opposition : la dissimulation de l'enfant de l'adoptant ne constitue pas un dol ou une fraude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8" w:history="1">
              <w:r>
                <w:rPr>
                  <w:color w:val="#410a8c"/>
                  <w:u w:val="single"/>
                </w:rPr>
                <w:t xml:space="preserve">hal-02616141v1</w:t>
              </w:r>
            </w:hyperlink>
          </w:p>
        </w:tc>
      </w:tr>
      <w:tr>
        <w:trPr/>
        <w:tc>
          <w:tcPr>
            <w:noWrap/>
          </w:tcPr>
          <w:p>
            <w:pPr>
              <w:spacing w:after="200"/>
            </w:pPr>
            <w:hyperlink r:id="rId269" w:history="1">
              <w:r>
                <w:rPr>
                  <w:color w:val="1e198e"/>
                  <w:b w:val="1"/>
                  <w:bCs w:val="1"/>
                  <w:u w:val="single"/>
                </w:rPr>
                <w:t xml:space="preserve">Les effets de la rétractation de l'aveu</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9" w:history="1">
              <w:r>
                <w:rPr>
                  <w:color w:val="#410a8c"/>
                  <w:u w:val="single"/>
                </w:rPr>
                <w:t xml:space="preserve">hal-02616193v1</w:t>
              </w:r>
            </w:hyperlink>
          </w:p>
        </w:tc>
      </w:tr>
      <w:tr>
        <w:trPr/>
        <w:tc>
          <w:tcPr>
            <w:noWrap/>
          </w:tcPr>
          <w:p>
            <w:pPr>
              <w:spacing w:after="200"/>
            </w:pPr>
            <w:hyperlink r:id="rId270" w:history="1">
              <w:r>
                <w:rPr>
                  <w:color w:val="1e198e"/>
                  <w:b w:val="1"/>
                  <w:bCs w:val="1"/>
                  <w:u w:val="single"/>
                </w:rPr>
                <w:t xml:space="preserve">Adoption : vie familiale et ... intérêts successoraux</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0" w:history="1">
              <w:r>
                <w:rPr>
                  <w:color w:val="#410a8c"/>
                  <w:u w:val="single"/>
                </w:rPr>
                <w:t xml:space="preserve">hal-02616132v1</w:t>
              </w:r>
            </w:hyperlink>
          </w:p>
        </w:tc>
      </w:tr>
      <w:tr>
        <w:trPr/>
        <w:tc>
          <w:tcPr>
            <w:noWrap/>
          </w:tcPr>
          <w:p>
            <w:pPr>
              <w:spacing w:after="200"/>
            </w:pPr>
            <w:hyperlink r:id="rId271" w:history="1">
              <w:r>
                <w:rPr>
                  <w:color w:val="1e198e"/>
                  <w:b w:val="1"/>
                  <w:bCs w:val="1"/>
                  <w:u w:val="single"/>
                </w:rPr>
                <w:t xml:space="preserve">Annulation d'une reconnaissance : de la réparation du préjudice moral à sa suppression</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1" w:history="1">
              <w:r>
                <w:rPr>
                  <w:color w:val="#410a8c"/>
                  <w:u w:val="single"/>
                </w:rPr>
                <w:t xml:space="preserve">hal-02616139v1</w:t>
              </w:r>
            </w:hyperlink>
          </w:p>
        </w:tc>
      </w:tr>
      <w:tr>
        <w:trPr/>
        <w:tc>
          <w:tcPr>
            <w:noWrap/>
          </w:tcPr>
          <w:p>
            <w:pPr>
              <w:spacing w:after="200"/>
            </w:pPr>
            <w:hyperlink r:id="rId272" w:history="1">
              <w:r>
                <w:rPr>
                  <w:color w:val="1e198e"/>
                  <w:b w:val="1"/>
                  <w:bCs w:val="1"/>
                  <w:u w:val="single"/>
                </w:rPr>
                <w:t xml:space="preserve">Filiation naturelle / Nom de l'enfant naturel / Substitution judiciaire du nom du père à celui de la mère (non) / Autorité parentale / Exercice sur l'enfant naturel / Exercice en commun de l'autorité parentale (non) / Loi du 8 janvier 1993 / Autorité parentale attribuée à la mère / Intérêt de l'enfant / Situation identique des 2 enfants à l'égard de leurs parents / Demande limitée à un seul enfant</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2" w:history="1">
              <w:r>
                <w:rPr>
                  <w:color w:val="#410a8c"/>
                  <w:u w:val="single"/>
                </w:rPr>
                <w:t xml:space="preserve">hal-02616131v1</w:t>
              </w:r>
            </w:hyperlink>
          </w:p>
        </w:tc>
      </w:tr>
      <w:tr>
        <w:trPr/>
        <w:tc>
          <w:tcPr>
            <w:noWrap/>
          </w:tcPr>
          <w:p>
            <w:pPr>
              <w:spacing w:after="200"/>
            </w:pPr>
            <w:hyperlink r:id="rId273" w:history="1">
              <w:r>
                <w:rPr>
                  <w:color w:val="1e198e"/>
                  <w:b w:val="1"/>
                  <w:bCs w:val="1"/>
                  <w:u w:val="single"/>
                </w:rPr>
                <w:t xml:space="preserve">Annulation du mariage et nationalité des enfants</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3" w:history="1">
              <w:r>
                <w:rPr>
                  <w:color w:val="#410a8c"/>
                  <w:u w:val="single"/>
                </w:rPr>
                <w:t xml:space="preserve">hal-02616198v1</w:t>
              </w:r>
            </w:hyperlink>
          </w:p>
        </w:tc>
      </w:tr>
      <w:tr>
        <w:trPr/>
        <w:tc>
          <w:tcPr>
            <w:noWrap/>
          </w:tcPr>
          <w:p>
            <w:pPr>
              <w:spacing w:after="200"/>
            </w:pPr>
            <w:hyperlink r:id="rId274" w:history="1">
              <w:r>
                <w:rPr>
                  <w:color w:val="1e198e"/>
                  <w:b w:val="1"/>
                  <w:bCs w:val="1"/>
                  <w:u w:val="single"/>
                </w:rPr>
                <w:t xml:space="preserve">Adoption simple et port du seul nom de l'adopté : il faut choisir</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4" w:history="1">
              <w:r>
                <w:rPr>
                  <w:color w:val="#410a8c"/>
                  <w:u w:val="single"/>
                </w:rPr>
                <w:t xml:space="preserve">hal-02616135v1</w:t>
              </w:r>
            </w:hyperlink>
          </w:p>
        </w:tc>
      </w:tr>
      <w:tr>
        <w:trPr/>
        <w:tc>
          <w:tcPr>
            <w:noWrap/>
          </w:tcPr>
          <w:p>
            <w:pPr>
              <w:spacing w:after="200"/>
            </w:pPr>
            <w:hyperlink r:id="rId275" w:history="1">
              <w:r>
                <w:rPr>
                  <w:color w:val="1e198e"/>
                  <w:b w:val="1"/>
                  <w:bCs w:val="1"/>
                  <w:u w:val="single"/>
                </w:rPr>
                <w:t xml:space="preserve">Les remboursements de frais constituent-ils des ressources ?</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5" w:history="1">
              <w:r>
                <w:rPr>
                  <w:color w:val="#410a8c"/>
                  <w:u w:val="single"/>
                </w:rPr>
                <w:t xml:space="preserve">hal-02616189v1</w:t>
              </w:r>
            </w:hyperlink>
          </w:p>
        </w:tc>
      </w:tr>
      <w:tr>
        <w:trPr/>
        <w:tc>
          <w:tcPr>
            <w:noWrap/>
          </w:tcPr>
          <w:p>
            <w:pPr>
              <w:spacing w:after="200"/>
            </w:pPr>
            <w:hyperlink r:id="rId276" w:history="1">
              <w:r>
                <w:rPr>
                  <w:color w:val="1e198e"/>
                  <w:b w:val="1"/>
                  <w:bCs w:val="1"/>
                  <w:u w:val="single"/>
                </w:rPr>
                <w:t xml:space="preserve">Action en recherche de paternité naturelle : la charge de l'absence de forclusion pèse sur le demandeur</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6" w:history="1">
              <w:r>
                <w:rPr>
                  <w:color w:val="#410a8c"/>
                  <w:u w:val="single"/>
                </w:rPr>
                <w:t xml:space="preserve">hal-02616137v1</w:t>
              </w:r>
            </w:hyperlink>
          </w:p>
        </w:tc>
      </w:tr>
      <w:tr>
        <w:trPr/>
        <w:tc>
          <w:tcPr>
            <w:noWrap/>
          </w:tcPr>
          <w:p>
            <w:pPr>
              <w:spacing w:after="200"/>
            </w:pPr>
            <w:hyperlink r:id="rId277" w:history="1">
              <w:r>
                <w:rPr>
                  <w:color w:val="1e198e"/>
                  <w:b w:val="1"/>
                  <w:bCs w:val="1"/>
                  <w:u w:val="single"/>
                </w:rPr>
                <w:t xml:space="preserve">La demande en divorce pour rupture de la vie commune absout les éventuelles fautes de la défenderesse</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7" w:history="1">
              <w:r>
                <w:rPr>
                  <w:color w:val="#410a8c"/>
                  <w:u w:val="single"/>
                </w:rPr>
                <w:t xml:space="preserve">hal-02616192v1</w:t>
              </w:r>
            </w:hyperlink>
          </w:p>
        </w:tc>
      </w:tr>
      <w:tr>
        <w:trPr/>
        <w:tc>
          <w:tcPr>
            <w:noWrap/>
          </w:tcPr>
          <w:p>
            <w:pPr>
              <w:spacing w:after="200"/>
            </w:pPr>
            <w:hyperlink r:id="rId278" w:history="1">
              <w:r>
                <w:rPr>
                  <w:color w:val="1e198e"/>
                  <w:b w:val="1"/>
                  <w:bCs w:val="1"/>
                  <w:u w:val="single"/>
                </w:rPr>
                <w:t xml:space="preserve">Conflit de filiations / Filiation légitime sans possession d'état / Article 334-9 du Code civil a contrario / Filiation naturelle résultant d'une reconnaissance / Filiation légitime résultant de l'indication du nom du mari en qualité de père / Possession d'état d'enfant naturel / Abandon moral et matériel du père légitime / Caractère vraisemblable de la filiation naturelle / Constatation de la filiation naturelle de l'enfant</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78" w:history="1">
              <w:r>
                <w:rPr>
                  <w:color w:val="#410a8c"/>
                  <w:u w:val="single"/>
                </w:rPr>
                <w:t xml:space="preserve">hal-02616128v1</w:t>
              </w:r>
            </w:hyperlink>
          </w:p>
        </w:tc>
      </w:tr>
      <w:tr>
        <w:trPr/>
        <w:tc>
          <w:tcPr>
            <w:noWrap/>
          </w:tcPr>
          <w:p>
            <w:pPr>
              <w:spacing w:after="200"/>
            </w:pPr>
            <w:hyperlink r:id="rId279" w:history="1">
              <w:r>
                <w:rPr>
                  <w:color w:val="1e198e"/>
                  <w:b w:val="1"/>
                  <w:bCs w:val="1"/>
                  <w:u w:val="single"/>
                </w:rPr>
                <w:t xml:space="preserve">Divorce par consentement mutuel / Modification des effets du divorce sur demande conjointe / Convention définitive homologuée / Article 273 du Code civil / Refus de révision de la prestation compensatoire pour la femme créancière / Absence de conséquence d'une exceptionnelle gravité / Suspension du paiement de la prestation compensatoire (non) / Caractère forfaitaire / Application de l'article 1244-1 du Code civil (non) / Caractère mixte de la prestation compensatoire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79" w:history="1">
              <w:r>
                <w:rPr>
                  <w:color w:val="#410a8c"/>
                  <w:u w:val="single"/>
                </w:rPr>
                <w:t xml:space="preserve">hal-02616187v1</w:t>
              </w:r>
            </w:hyperlink>
          </w:p>
        </w:tc>
      </w:tr>
      <w:tr>
        <w:trPr/>
        <w:tc>
          <w:tcPr>
            <w:noWrap/>
          </w:tcPr>
          <w:p>
            <w:pPr>
              <w:spacing w:after="200"/>
            </w:pPr>
            <w:hyperlink r:id="rId280" w:history="1">
              <w:r>
                <w:rPr>
                  <w:color w:val="1e198e"/>
                  <w:b w:val="1"/>
                  <w:bCs w:val="1"/>
                  <w:u w:val="single"/>
                </w:rPr>
                <w:t xml:space="preserve">Adoption simple / Qualité pour agir en révocation d'adoption simple / Adopté (non) / Défaut de rétractation dans le délai de trois mois / Article 348-3 du Code civil / Adoptant (oui) / Application de l'article 348-3 du Code civil (non) / Jugement non encore passé en force de chose jugée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0" w:history="1">
              <w:r>
                <w:rPr>
                  <w:color w:val="#410a8c"/>
                  <w:u w:val="single"/>
                </w:rPr>
                <w:t xml:space="preserve">hal-02616130v1</w:t>
              </w:r>
            </w:hyperlink>
          </w:p>
        </w:tc>
      </w:tr>
      <w:tr>
        <w:trPr/>
        <w:tc>
          <w:tcPr>
            <w:noWrap/>
          </w:tcPr>
          <w:p>
            <w:pPr>
              <w:spacing w:after="200"/>
            </w:pPr>
            <w:hyperlink r:id="rId281" w:history="1">
              <w:r>
                <w:rPr>
                  <w:color w:val="1e198e"/>
                  <w:b w:val="1"/>
                  <w:bCs w:val="1"/>
                  <w:u w:val="single"/>
                </w:rPr>
                <w:t xml:space="preserve">Autorité parentale / Refus du droit de visite des grands-parents (Non) / Article 371-4 du Code civil / Compétence du juge aux affaires familiales en tant que juge des référés / Rétablissement des relations personnelles de l'enfant avec ses grands-parents / Mesure d'urgence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1" w:history="1">
              <w:r>
                <w:rPr>
                  <w:color w:val="#410a8c"/>
                  <w:u w:val="single"/>
                </w:rPr>
                <w:t xml:space="preserve">hal-02616118v1</w:t>
              </w:r>
            </w:hyperlink>
          </w:p>
        </w:tc>
      </w:tr>
      <w:tr>
        <w:trPr/>
        <w:tc>
          <w:tcPr>
            <w:noWrap/>
          </w:tcPr>
          <w:p>
            <w:pPr>
              <w:spacing w:after="200"/>
            </w:pPr>
            <w:hyperlink r:id="rId282" w:history="1">
              <w:r>
                <w:rPr>
                  <w:color w:val="1e198e"/>
                  <w:b w:val="1"/>
                  <w:bCs w:val="1"/>
                  <w:u w:val="single"/>
                </w:rPr>
                <w:t xml:space="preserve">Divorce / Modification des mesures provisoires / Révision de la pension alimentaire d'un enfant / Suppression / Article 295 du Code civil / Enfant majeur autonome / Moment de la suppression / Date de l'autonomie de l'enfant (non) / Date de la saisine du juge en suppression de la pension alimentaire (oui)</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2" w:history="1">
              <w:r>
                <w:rPr>
                  <w:color w:val="#410a8c"/>
                  <w:u w:val="single"/>
                </w:rPr>
                <w:t xml:space="preserve">hal-02616165v1</w:t>
              </w:r>
            </w:hyperlink>
          </w:p>
        </w:tc>
      </w:tr>
      <w:tr>
        <w:trPr/>
        <w:tc>
          <w:tcPr>
            <w:noWrap/>
          </w:tcPr>
          <w:p>
            <w:pPr>
              <w:spacing w:after="200"/>
            </w:pPr>
            <w:hyperlink r:id="rId283" w:history="1">
              <w:r>
                <w:rPr>
                  <w:color w:val="1e198e"/>
                  <w:b w:val="1"/>
                  <w:bCs w:val="1"/>
                  <w:u w:val="single"/>
                </w:rPr>
                <w:t xml:space="preserve">Divorce / Effets du divorce / Refus de dommages-intérêts / Article 266 du Code civil / Absence d'un préjudice matériel ou moral de la femme créancière / Durée de la vie commune / Différence d'âge entre les époux / Absence de grandes espérances d'amours durables</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3" w:history="1">
              <w:r>
                <w:rPr>
                  <w:color w:val="#410a8c"/>
                  <w:u w:val="single"/>
                </w:rPr>
                <w:t xml:space="preserve">hal-02616184v1</w:t>
              </w:r>
            </w:hyperlink>
          </w:p>
        </w:tc>
      </w:tr>
      <w:tr>
        <w:trPr/>
        <w:tc>
          <w:tcPr>
            <w:noWrap/>
          </w:tcPr>
          <w:p>
            <w:pPr>
              <w:spacing w:after="200"/>
            </w:pPr>
            <w:hyperlink r:id="rId284" w:history="1">
              <w:r>
                <w:rPr>
                  <w:color w:val="1e198e"/>
                  <w:b w:val="1"/>
                  <w:bCs w:val="1"/>
                  <w:u w:val="single"/>
                </w:rPr>
                <w:t xml:space="preserve">Divorce / Effets du divorce / Fixation de la prestation compensatoire / En abandon de biens / Femme créancière / Frais de l'abandon de biens en usufruit / Frais distincts des dépens de l'instance / Absence de disposition du jugement relative à la charge de ses frais / Frais à la charge du créancier de la prestation compensatoire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4" w:history="1">
              <w:r>
                <w:rPr>
                  <w:color w:val="#410a8c"/>
                  <w:u w:val="single"/>
                </w:rPr>
                <w:t xml:space="preserve">hal-02616175v1</w:t>
              </w:r>
            </w:hyperlink>
          </w:p>
        </w:tc>
      </w:tr>
      <w:tr>
        <w:trPr/>
        <w:tc>
          <w:tcPr>
            <w:noWrap/>
          </w:tcPr>
          <w:p>
            <w:pPr>
              <w:spacing w:after="200"/>
            </w:pPr>
            <w:hyperlink r:id="rId285" w:history="1">
              <w:r>
                <w:rPr>
                  <w:color w:val="1e198e"/>
                  <w:b w:val="1"/>
                  <w:bCs w:val="1"/>
                  <w:u w:val="single"/>
                </w:rPr>
                <w:t xml:space="preserve">Autorité parentale sur l'enfant naturel / Droit de visite et d'hébergement des grands-parents / Refus du droit de visite des grands-parents (oui) / Article 371-4 du Code civil / Absence de motif grave / Droit de visite et d'hébergement accordé au père naturel / Absence d'impossibilité d'exercer le droit de visite et d'hébergement des grands-parents paternels au cours de l'exercice du droit de visite et d'hébergement du père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5" w:history="1">
              <w:r>
                <w:rPr>
                  <w:color w:val="#410a8c"/>
                  <w:u w:val="single"/>
                </w:rPr>
                <w:t xml:space="preserve">hal-02616122v1</w:t>
              </w:r>
            </w:hyperlink>
          </w:p>
        </w:tc>
      </w:tr>
      <w:tr>
        <w:trPr/>
        <w:tc>
          <w:tcPr>
            <w:noWrap/>
          </w:tcPr>
          <w:p>
            <w:pPr>
              <w:spacing w:after="200"/>
            </w:pPr>
            <w:hyperlink r:id="rId286" w:history="1">
              <w:r>
                <w:rPr>
                  <w:color w:val="1e198e"/>
                  <w:b w:val="1"/>
                  <w:bCs w:val="1"/>
                  <w:u w:val="single"/>
                </w:rPr>
                <w:t xml:space="preserve">Exercice de l'autorité parentale sur l'enfant naturel / Enfant reconnu par le père et la mère / Exercice en commun de l'autorité parentale / Droit de visite et d'hébergement de la mère / Fixation de la résidence habituelle de l'enfant chez le père / Volonté de l'enfant / Soustraction de l'enfant par la mère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6" w:history="1">
              <w:r>
                <w:rPr>
                  <w:color w:val="#410a8c"/>
                  <w:u w:val="single"/>
                </w:rPr>
                <w:t xml:space="preserve">hal-02616119v1</w:t>
              </w:r>
            </w:hyperlink>
          </w:p>
        </w:tc>
      </w:tr>
      <w:tr>
        <w:trPr/>
        <w:tc>
          <w:tcPr>
            <w:noWrap/>
          </w:tcPr>
          <w:p>
            <w:pPr>
              <w:spacing w:after="200"/>
            </w:pPr>
            <w:hyperlink r:id="rId287" w:history="1">
              <w:r>
                <w:rPr>
                  <w:color w:val="1e198e"/>
                  <w:b w:val="1"/>
                  <w:bCs w:val="1"/>
                  <w:u w:val="single"/>
                </w:rPr>
                <w:t xml:space="preserve">Procédure civile / Divorce / Caducité des mesures provisoires / Article 1113 du nouveau Code de procédure civile / Défaut d'assignation dans les six mois / Caducité de la pension alimentaire attribuée à la femme au titre des mesures provisoires / Annulation rétroactive de la pension alimentaire (non) / Appel des mesures provisoires / Recevabilité (oui)</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7" w:history="1">
              <w:r>
                <w:rPr>
                  <w:color w:val="#410a8c"/>
                  <w:u w:val="single"/>
                </w:rPr>
                <w:t xml:space="preserve">hal-02616170v1</w:t>
              </w:r>
            </w:hyperlink>
          </w:p>
        </w:tc>
      </w:tr>
      <w:tr>
        <w:trPr/>
        <w:tc>
          <w:tcPr>
            <w:noWrap/>
          </w:tcPr>
          <w:p>
            <w:pPr>
              <w:spacing w:after="200"/>
            </w:pPr>
            <w:hyperlink r:id="rId288" w:history="1">
              <w:r>
                <w:rPr>
                  <w:color w:val="1e198e"/>
                  <w:b w:val="1"/>
                  <w:bCs w:val="1"/>
                  <w:u w:val="single"/>
                </w:rPr>
                <w:t xml:space="preserve">Filiation naturelle / Action en contestation de paternité naturelle / Article 334-8 du Code civil / Etablissement de la filiation naturelle par la possession d'état / Moyens de preuve / Article 311-3 du Code civil / Décès du père prétendu / Expertise sanguine sur le cadavre / Compétence du juge des référés (oui) / Article 145 du nouveau Code de procédure civile / Consentement de l'intéressé (non) / Application de l'article 16-11 alinéa 2 du Code civil (non) / Condition impossible / Atteinte à l'intégrité du cadavre / Atteinte justifiée (oui) / Existence d'indices sérieux de paternité (oui) / Ressemblance physique / Témoignages / Testament du père prétendu</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8" w:history="1">
              <w:r>
                <w:rPr>
                  <w:color w:val="#410a8c"/>
                  <w:u w:val="single"/>
                </w:rPr>
                <w:t xml:space="preserve">hal-02616127v1</w:t>
              </w:r>
            </w:hyperlink>
          </w:p>
        </w:tc>
      </w:tr>
      <w:tr>
        <w:trPr/>
        <w:tc>
          <w:tcPr>
            <w:noWrap/>
          </w:tcPr>
          <w:p>
            <w:pPr>
              <w:spacing w:after="200"/>
            </w:pPr>
            <w:hyperlink r:id="rId289" w:history="1">
              <w:r>
                <w:rPr>
                  <w:color w:val="1e198e"/>
                  <w:b w:val="1"/>
                  <w:bCs w:val="1"/>
                  <w:u w:val="single"/>
                </w:rPr>
                <w:t xml:space="preserve">Modification des effets du divorce pour faute / Révision de la prestation compensatoire / Refus de révision de la prestation compensatoire de la femme créancière / Application de l'article 273 du Code civil / Absence de conséquences d'une exceptionnelle gravité / Renonciation par les héritiers à la succession de leur père débiteur</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89" w:history="1">
              <w:r>
                <w:rPr>
                  <w:color w:val="#410a8c"/>
                  <w:u w:val="single"/>
                </w:rPr>
                <w:t xml:space="preserve">hal-02616159v1</w:t>
              </w:r>
            </w:hyperlink>
          </w:p>
        </w:tc>
      </w:tr>
      <w:tr>
        <w:trPr/>
        <w:tc>
          <w:tcPr>
            <w:noWrap/>
          </w:tcPr>
          <w:p>
            <w:pPr>
              <w:spacing w:after="200"/>
            </w:pPr>
            <w:hyperlink r:id="rId290" w:history="1">
              <w:r>
                <w:rPr>
                  <w:color w:val="1e198e"/>
                  <w:b w:val="1"/>
                  <w:bCs w:val="1"/>
                  <w:u w:val="single"/>
                </w:rPr>
                <w:t xml:space="preserve">Etat civil / Modification de l'ordre des prénoms / Absence d'intérêt</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0" w:history="1">
              <w:r>
                <w:rPr>
                  <w:color w:val="#410a8c"/>
                  <w:u w:val="single"/>
                </w:rPr>
                <w:t xml:space="preserve">hal-02616115v1</w:t>
              </w:r>
            </w:hyperlink>
          </w:p>
        </w:tc>
      </w:tr>
      <w:tr>
        <w:trPr/>
        <w:tc>
          <w:tcPr>
            <w:noWrap/>
          </w:tcPr>
          <w:p>
            <w:pPr>
              <w:spacing w:after="200"/>
            </w:pPr>
            <w:hyperlink r:id="rId291" w:history="1">
              <w:r>
                <w:rPr>
                  <w:color w:val="1e198e"/>
                  <w:b w:val="1"/>
                  <w:bCs w:val="1"/>
                  <w:u w:val="single"/>
                </w:rPr>
                <w:t xml:space="preserve">Filiation légitime / Possession d'état / Bien-fondé de l'action en contestation d'état / Contestation de paternité légitime / Article 322 du Code civil a contrario / Absence de possession d'état conforme au titre de naissance / Preuve de l'impossibilité de paternité du mari</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1" w:history="1">
              <w:r>
                <w:rPr>
                  <w:color w:val="#410a8c"/>
                  <w:u w:val="single"/>
                </w:rPr>
                <w:t xml:space="preserve">hal-02616117v1</w:t>
              </w:r>
            </w:hyperlink>
          </w:p>
        </w:tc>
      </w:tr>
      <w:tr>
        <w:trPr/>
        <w:tc>
          <w:tcPr>
            <w:noWrap/>
          </w:tcPr>
          <w:p>
            <w:pPr>
              <w:spacing w:after="200"/>
            </w:pPr>
            <w:hyperlink r:id="rId292" w:history="1">
              <w:r>
                <w:rPr>
                  <w:color w:val="1e198e"/>
                  <w:b w:val="1"/>
                  <w:bCs w:val="1"/>
                  <w:u w:val="single"/>
                </w:rPr>
                <w:t xml:space="preserve">Divorce / Recevabilité de la demande en divorce / Répudiation / Conformité à l'ordre public international français (non)</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2" w:history="1">
              <w:r>
                <w:rPr>
                  <w:color w:val="#410a8c"/>
                  <w:u w:val="single"/>
                </w:rPr>
                <w:t xml:space="preserve">hal-02616150v1</w:t>
              </w:r>
            </w:hyperlink>
          </w:p>
        </w:tc>
      </w:tr>
      <w:tr>
        <w:trPr/>
        <w:tc>
          <w:tcPr>
            <w:noWrap/>
          </w:tcPr>
          <w:p>
            <w:pPr>
              <w:spacing w:after="200"/>
            </w:pPr>
            <w:hyperlink r:id="rId293" w:history="1">
              <w:r>
                <w:rPr>
                  <w:color w:val="1e198e"/>
                  <w:b w:val="1"/>
                  <w:bCs w:val="1"/>
                  <w:u w:val="single"/>
                </w:rPr>
                <w:t xml:space="preserve">Divorce / Fixation des mesures provisoires / Attribution de la jouissance du domicile conjugal à l'épouse / Caractère gratuit / Interprétation de l'ordonnance de non-conciliation</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3" w:history="1">
              <w:r>
                <w:rPr>
                  <w:color w:val="#410a8c"/>
                  <w:u w:val="single"/>
                </w:rPr>
                <w:t xml:space="preserve">hal-02616149v1</w:t>
              </w:r>
            </w:hyperlink>
          </w:p>
        </w:tc>
      </w:tr>
      <w:tr>
        <w:trPr/>
        <w:tc>
          <w:tcPr>
            <w:noWrap/>
          </w:tcPr>
          <w:p>
            <w:pPr>
              <w:spacing w:after="200"/>
            </w:pPr>
            <w:hyperlink r:id="rId294" w:history="1">
              <w:r>
                <w:rPr>
                  <w:color w:val="1e198e"/>
                  <w:b w:val="1"/>
                  <w:bCs w:val="1"/>
                  <w:u w:val="single"/>
                </w:rPr>
                <w:t xml:space="preserve">Divorce / Recevabilité de la demande en divorce / Répudiation / Conformité à l'ordre public international français (oui)</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4" w:history="1">
              <w:r>
                <w:rPr>
                  <w:color w:val="#410a8c"/>
                  <w:u w:val="single"/>
                </w:rPr>
                <w:t xml:space="preserve">hal-02616145v1</w:t>
              </w:r>
            </w:hyperlink>
          </w:p>
        </w:tc>
      </w:tr>
      <w:tr>
        <w:trPr/>
        <w:tc>
          <w:tcPr>
            <w:noWrap/>
          </w:tcPr>
          <w:p>
            <w:pPr>
              <w:spacing w:after="200"/>
            </w:pPr>
            <w:hyperlink r:id="rId295" w:history="1">
              <w:r>
                <w:rPr>
                  <w:color w:val="1e198e"/>
                  <w:b w:val="1"/>
                  <w:bCs w:val="1"/>
                  <w:u w:val="single"/>
                </w:rPr>
                <w:t xml:space="preserve">Filiation naturelle / nullité de la reconnaissance (oui) / Reconnaissance mensongère / Faute de l'auteur de la reconnaissance / Préjudice moral de l'enfant / Dommages-intérêts = 15 000 F / Garantie de la mère pour moitié</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5" w:history="1">
              <w:r>
                <w:rPr>
                  <w:color w:val="#410a8c"/>
                  <w:u w:val="single"/>
                </w:rPr>
                <w:t xml:space="preserve">hal-02616121v1</w:t>
              </w:r>
            </w:hyperlink>
          </w:p>
        </w:tc>
      </w:tr>
      <w:tr>
        <w:trPr/>
        <w:tc>
          <w:tcPr>
            <w:noWrap/>
          </w:tcPr>
          <w:p>
            <w:pPr>
              <w:spacing w:after="200"/>
            </w:pPr>
            <w:hyperlink r:id="rId296" w:history="1">
              <w:r>
                <w:rPr>
                  <w:color w:val="1e198e"/>
                  <w:b w:val="1"/>
                  <w:bCs w:val="1"/>
                  <w:u w:val="single"/>
                </w:rPr>
                <w:t xml:space="preserve">Effets du divorce pour faute / Moment de la demande de prestation compensatoire / Recevabilité de la demande de prestation compensatoire formée pour la première fois en appel / Demande nouvelle (Non) / Article 1076-1 du Nouveau Code de Procédure Civile</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6" w:history="1">
              <w:r>
                <w:rPr>
                  <w:color w:val="#410a8c"/>
                  <w:u w:val="single"/>
                </w:rPr>
                <w:t xml:space="preserve">hal-02616153v1</w:t>
              </w:r>
            </w:hyperlink>
          </w:p>
        </w:tc>
      </w:tr>
      <w:tr>
        <w:trPr/>
        <w:tc>
          <w:tcPr>
            <w:noWrap/>
          </w:tcPr>
          <w:p>
            <w:pPr>
              <w:spacing w:after="200"/>
            </w:pPr>
            <w:hyperlink r:id="rId297" w:history="1">
              <w:r>
                <w:rPr>
                  <w:color w:val="1e198e"/>
                  <w:b w:val="1"/>
                  <w:bCs w:val="1"/>
                  <w:u w:val="single"/>
                </w:rPr>
                <w:t xml:space="preserve">Filiation naturelle / Nom de l'enfant naturel / Substitution judiciaire du nom du véritable père / Refus de rétablissement du nom de la mère / Annulation de la déclaration conjointe en changement de nom / Annulation de la reconnaissance mensongère</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7" w:history="1">
              <w:r>
                <w:rPr>
                  <w:color w:val="#410a8c"/>
                  <w:u w:val="single"/>
                </w:rPr>
                <w:t xml:space="preserve">hal-02616116v1</w:t>
              </w:r>
            </w:hyperlink>
          </w:p>
        </w:tc>
      </w:tr>
      <w:tr>
        <w:trPr/>
        <w:tc>
          <w:tcPr>
            <w:noWrap/>
          </w:tcPr>
          <w:p>
            <w:pPr>
              <w:spacing w:after="200"/>
            </w:pPr>
            <w:hyperlink r:id="rId298" w:history="1">
              <w:r>
                <w:rPr>
                  <w:color w:val="1e198e"/>
                  <w:b w:val="1"/>
                  <w:bCs w:val="1"/>
                  <w:u w:val="single"/>
                </w:rPr>
                <w:t xml:space="preserve">Divorce pour rupture de la vie commune / Clause de dureté soulevée par la femme / Existence de conséquences d'une exceptionnelle dureté / Conséquences matérielles / Perte des droits sur l'assurance maladie du mari</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8" w:history="1">
              <w:r>
                <w:rPr>
                  <w:color w:val="#410a8c"/>
                  <w:u w:val="single"/>
                </w:rPr>
                <w:t xml:space="preserve">hal-02616147v1</w:t>
              </w:r>
            </w:hyperlink>
          </w:p>
        </w:tc>
      </w:tr>
      <w:tr>
        <w:trPr/>
        <w:tc>
          <w:tcPr>
            <w:noWrap/>
          </w:tcPr>
          <w:p>
            <w:pPr>
              <w:spacing w:after="200"/>
            </w:pPr>
            <w:hyperlink r:id="rId299" w:history="1">
              <w:r>
                <w:rPr>
                  <w:color w:val="1e198e"/>
                  <w:b w:val="1"/>
                  <w:bCs w:val="1"/>
                  <w:u w:val="single"/>
                </w:rPr>
                <w:t xml:space="preserve">Effets du divorce pour rupture de la vie commune / Refus de pension alimentaire pour la femme créancière / Absence de situation de besoin financier</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9" w:history="1">
              <w:r>
                <w:rPr>
                  <w:color w:val="#410a8c"/>
                  <w:u w:val="single"/>
                </w:rPr>
                <w:t xml:space="preserve">hal-02616148v1</w:t>
              </w:r>
            </w:hyperlink>
          </w:p>
        </w:tc>
      </w:tr>
      <w:tr>
        <w:trPr/>
        <w:tc>
          <w:tcPr>
            <w:noWrap/>
          </w:tcPr>
          <w:p>
            <w:pPr>
              <w:spacing w:after="200"/>
            </w:pPr>
            <w:hyperlink r:id="rId300" w:history="1">
              <w:r>
                <w:rPr>
                  <w:color w:val="1e198e"/>
                  <w:b w:val="1"/>
                  <w:bCs w:val="1"/>
                  <w:u w:val="single"/>
                </w:rPr>
                <w:t xml:space="preserve">Divorce pour rupture de la vie commune / Clause de dureté soulevée par la femme / Absence de conséquences d'une exceptionnelle dureté / Conséquences morales / Demande reconventionnelle pour faute</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300" w:history="1">
              <w:r>
                <w:rPr>
                  <w:color w:val="#410a8c"/>
                  <w:u w:val="single"/>
                </w:rPr>
                <w:t xml:space="preserve">hal-02616146v1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Lobbying (plaidoyer) en faveur de l'adoption de la loi n° 2017-399 du 27 mars 2017 relative au devoir de vigilance des sociétés mères et des entreprises donneuses d'ordre</w:t>
              </w:r>
            </w:hyperlink>
          </w:p>
          <w:p>
            <w:pPr/>
            <w:hyperlink r:id="rId8" w:history="1">
              <w:r>
                <w:rPr>
                  <w:color w:val="#410a8c"/>
                  <w:u w:val="single"/>
                </w:rPr>
                <w:t xml:space="preserve">Annabel Quin</w:t>
              </w:r>
            </w:hyperlink>
          </w:p>
          <w:p>
            <w:pPr/>
            <w:r>
              <w:rPr/>
              <w:t xml:space="preserve">2020</w:t>
            </w:r>
          </w:p>
          <w:p>
            <w:pPr/>
            <w:r>
              <w:rPr/>
              <w:t xml:space="preserve">Pré-publication, Document de travail</w:t>
            </w:r>
          </w:p>
          <w:p>
            <w:pPr/>
            <w:hyperlink r:id="rId301" w:history="1">
              <w:r>
                <w:rPr>
                  <w:color w:val="#410a8c"/>
                  <w:u w:val="single"/>
                </w:rPr>
                <w:t xml:space="preserve">hal-02616452v1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950878v1" TargetMode="External"/><Relationship Id="rId8" Type="http://schemas.openxmlformats.org/officeDocument/2006/relationships/hyperlink" Target="https://hal.science/search/index/?q=*&amp;authFullName_s=Annabel Quin" TargetMode="External"/><Relationship Id="rId9" Type="http://schemas.openxmlformats.org/officeDocument/2006/relationships/hyperlink" Target="https://hal.science/hal-02614808v1" TargetMode="External"/><Relationship Id="rId10" Type="http://schemas.openxmlformats.org/officeDocument/2006/relationships/hyperlink" Target="https://hal.science/hal-02616201v1" TargetMode="External"/><Relationship Id="rId11" Type="http://schemas.openxmlformats.org/officeDocument/2006/relationships/hyperlink" Target="https://hal.science/hal-05596186v1" TargetMode="External"/><Relationship Id="rId12" Type="http://schemas.openxmlformats.org/officeDocument/2006/relationships/hyperlink" Target="https://hal.science/hal-05151838v1" TargetMode="External"/><Relationship Id="rId13" Type="http://schemas.openxmlformats.org/officeDocument/2006/relationships/hyperlink" Target="https://hal.science/search/index/?q=*&amp;authFullName_s=Yann Lennon" TargetMode="External"/><Relationship Id="rId14" Type="http://schemas.openxmlformats.org/officeDocument/2006/relationships/hyperlink" Target="https://hal.science/search/index/?q=*&amp;authFullName_s=Nathalie Julien" TargetMode="External"/><Relationship Id="rId15" Type="http://schemas.openxmlformats.org/officeDocument/2006/relationships/hyperlink" Target="https://dx.doi.org/10.3850/978-981-94-3281-3_ESREL-SRA-E2025-P0510-cd" TargetMode="External"/><Relationship Id="rId16" Type="http://schemas.openxmlformats.org/officeDocument/2006/relationships/hyperlink" Target="https://hal.science/hal-04894631v1" TargetMode="External"/><Relationship Id="rId17" Type="http://schemas.openxmlformats.org/officeDocument/2006/relationships/hyperlink" Target="https://shs.hal.science/halshs-03513304v1" TargetMode="External"/><Relationship Id="rId18" Type="http://schemas.openxmlformats.org/officeDocument/2006/relationships/hyperlink" Target="https://shs.hal.science/halshs-03513321v1" TargetMode="External"/><Relationship Id="rId19" Type="http://schemas.openxmlformats.org/officeDocument/2006/relationships/hyperlink" Target="https://hal.science/hal-02568552v1" TargetMode="External"/><Relationship Id="rId20" Type="http://schemas.openxmlformats.org/officeDocument/2006/relationships/hyperlink" Target="https://hal.science/hal-02568557v1" TargetMode="External"/><Relationship Id="rId21" Type="http://schemas.openxmlformats.org/officeDocument/2006/relationships/hyperlink" Target="https://hal.science/hal-02568553v1" TargetMode="External"/><Relationship Id="rId22" Type="http://schemas.openxmlformats.org/officeDocument/2006/relationships/hyperlink" Target="https://hal.science/hal-02616449v1" TargetMode="External"/><Relationship Id="rId23" Type="http://schemas.openxmlformats.org/officeDocument/2006/relationships/hyperlink" Target="https://hal.science/hal-02568551v1" TargetMode="External"/><Relationship Id="rId24" Type="http://schemas.openxmlformats.org/officeDocument/2006/relationships/hyperlink" Target="https://hal.science/hal-02568546v1" TargetMode="External"/><Relationship Id="rId25" Type="http://schemas.openxmlformats.org/officeDocument/2006/relationships/hyperlink" Target="https://hal.science/hal-02950871v1" TargetMode="External"/><Relationship Id="rId26" Type="http://schemas.openxmlformats.org/officeDocument/2006/relationships/hyperlink" Target="https://hal.science/hal-02568545v1" TargetMode="External"/><Relationship Id="rId27" Type="http://schemas.openxmlformats.org/officeDocument/2006/relationships/hyperlink" Target="https://hal.science/hal-02614840v1" TargetMode="External"/><Relationship Id="rId28" Type="http://schemas.openxmlformats.org/officeDocument/2006/relationships/hyperlink" Target="https://hal.science/hal-02616200v1" TargetMode="External"/><Relationship Id="rId29" Type="http://schemas.openxmlformats.org/officeDocument/2006/relationships/hyperlink" Target="https://hal.science/hal-04894681v1" TargetMode="External"/><Relationship Id="rId30" Type="http://schemas.openxmlformats.org/officeDocument/2006/relationships/hyperlink" Target="https://hal.science/hal-02614770v1" TargetMode="External"/><Relationship Id="rId31" Type="http://schemas.openxmlformats.org/officeDocument/2006/relationships/hyperlink" Target="https://hal.science/hal-02950875v1" TargetMode="External"/><Relationship Id="rId32" Type="http://schemas.openxmlformats.org/officeDocument/2006/relationships/hyperlink" Target="https://hal.science/hal-02614806v1" TargetMode="External"/><Relationship Id="rId33" Type="http://schemas.openxmlformats.org/officeDocument/2006/relationships/hyperlink" Target="https://hal.science/hal-00929905v1" TargetMode="External"/><Relationship Id="rId34" Type="http://schemas.openxmlformats.org/officeDocument/2006/relationships/hyperlink" Target="https://hal.science/hal-02616450v1" TargetMode="External"/><Relationship Id="rId35" Type="http://schemas.openxmlformats.org/officeDocument/2006/relationships/hyperlink" Target="https://hal.science/search/index/?q=*&amp;authFullName_s=Fran&#231;ois Collart Dutilleul" TargetMode="External"/><Relationship Id="rId36" Type="http://schemas.openxmlformats.org/officeDocument/2006/relationships/hyperlink" Target="https://hal.science/hal-02614848v1" TargetMode="External"/><Relationship Id="rId37" Type="http://schemas.openxmlformats.org/officeDocument/2006/relationships/hyperlink" Target="https://hal.science/hal-02614796v1" TargetMode="External"/><Relationship Id="rId38" Type="http://schemas.openxmlformats.org/officeDocument/2006/relationships/hyperlink" Target="https://hal.science/hal-02614852v1" TargetMode="External"/><Relationship Id="rId39" Type="http://schemas.openxmlformats.org/officeDocument/2006/relationships/hyperlink" Target="https://hal.science/hal-02614799v1" TargetMode="External"/><Relationship Id="rId40" Type="http://schemas.openxmlformats.org/officeDocument/2006/relationships/hyperlink" Target="https://hal.science/hal-02616202v1" TargetMode="External"/><Relationship Id="rId41" Type="http://schemas.openxmlformats.org/officeDocument/2006/relationships/hyperlink" Target="https://hal.science/hal-02616107v1" TargetMode="External"/><Relationship Id="rId42" Type="http://schemas.openxmlformats.org/officeDocument/2006/relationships/hyperlink" Target="https://hal.science/hal-02616204v1" TargetMode="External"/><Relationship Id="rId43" Type="http://schemas.openxmlformats.org/officeDocument/2006/relationships/hyperlink" Target="https://hal.science/search/index/?q=*&amp;authFullName_s=Emmanuel Putman" TargetMode="External"/><Relationship Id="rId44" Type="http://schemas.openxmlformats.org/officeDocument/2006/relationships/hyperlink" Target="https://hal.science/hal-02616105v1" TargetMode="External"/><Relationship Id="rId45" Type="http://schemas.openxmlformats.org/officeDocument/2006/relationships/hyperlink" Target="https://hal.science/hal-02614856v1" TargetMode="External"/><Relationship Id="rId46" Type="http://schemas.openxmlformats.org/officeDocument/2006/relationships/hyperlink" Target="https://hal.science/hal-02504272v1" TargetMode="External"/><Relationship Id="rId47" Type="http://schemas.openxmlformats.org/officeDocument/2006/relationships/hyperlink" Target="https://hal.science/hal-02504277v1" TargetMode="External"/><Relationship Id="rId48" Type="http://schemas.openxmlformats.org/officeDocument/2006/relationships/hyperlink" Target="https://hal.science/hal-02614854v1" TargetMode="External"/><Relationship Id="rId49" Type="http://schemas.openxmlformats.org/officeDocument/2006/relationships/hyperlink" Target="https://hal.science/hal-02614855v1" TargetMode="External"/><Relationship Id="rId50" Type="http://schemas.openxmlformats.org/officeDocument/2006/relationships/hyperlink" Target="https://hal.science/hal-02614857v1" TargetMode="External"/><Relationship Id="rId51" Type="http://schemas.openxmlformats.org/officeDocument/2006/relationships/hyperlink" Target="https://hal.science/hal-02504228v1" TargetMode="External"/><Relationship Id="rId52" Type="http://schemas.openxmlformats.org/officeDocument/2006/relationships/hyperlink" Target="https://hal.science/hal-02504184v1" TargetMode="External"/><Relationship Id="rId53" Type="http://schemas.openxmlformats.org/officeDocument/2006/relationships/hyperlink" Target="https://hal.science/hal-02504241v1" TargetMode="External"/><Relationship Id="rId54" Type="http://schemas.openxmlformats.org/officeDocument/2006/relationships/hyperlink" Target="https://hal.science/hal-02504165v1" TargetMode="External"/><Relationship Id="rId55" Type="http://schemas.openxmlformats.org/officeDocument/2006/relationships/hyperlink" Target="https://hal.science/hal-02504146v1" TargetMode="External"/><Relationship Id="rId56" Type="http://schemas.openxmlformats.org/officeDocument/2006/relationships/hyperlink" Target="https://hal.science/hal-02504220v1" TargetMode="External"/><Relationship Id="rId57" Type="http://schemas.openxmlformats.org/officeDocument/2006/relationships/hyperlink" Target="https://hal.science/hal-02504263v1" TargetMode="External"/><Relationship Id="rId58" Type="http://schemas.openxmlformats.org/officeDocument/2006/relationships/hyperlink" Target="https://hal.science/hal-02504259v1" TargetMode="External"/><Relationship Id="rId59" Type="http://schemas.openxmlformats.org/officeDocument/2006/relationships/hyperlink" Target="https://hal.science/hal-02504150v1" TargetMode="External"/><Relationship Id="rId60" Type="http://schemas.openxmlformats.org/officeDocument/2006/relationships/hyperlink" Target="https://hal.science/hal-02504162v1" TargetMode="External"/><Relationship Id="rId61" Type="http://schemas.openxmlformats.org/officeDocument/2006/relationships/hyperlink" Target="https://hal.science/hal-02504247v1" TargetMode="External"/><Relationship Id="rId62" Type="http://schemas.openxmlformats.org/officeDocument/2006/relationships/hyperlink" Target="https://hal.science/hal-02504175v1" TargetMode="External"/><Relationship Id="rId63" Type="http://schemas.openxmlformats.org/officeDocument/2006/relationships/hyperlink" Target="https://hal.science/hal-02504173v1" TargetMode="External"/><Relationship Id="rId64" Type="http://schemas.openxmlformats.org/officeDocument/2006/relationships/hyperlink" Target="https://hal.science/hal-02504169v1" TargetMode="External"/><Relationship Id="rId65" Type="http://schemas.openxmlformats.org/officeDocument/2006/relationships/hyperlink" Target="https://hal.science/hal-02504147v1" TargetMode="External"/><Relationship Id="rId66" Type="http://schemas.openxmlformats.org/officeDocument/2006/relationships/hyperlink" Target="https://hal.science/hal-02504181v1" TargetMode="External"/><Relationship Id="rId67" Type="http://schemas.openxmlformats.org/officeDocument/2006/relationships/hyperlink" Target="https://hal.science/hal-02504157v1" TargetMode="External"/><Relationship Id="rId68" Type="http://schemas.openxmlformats.org/officeDocument/2006/relationships/hyperlink" Target="https://hal.science/hal-02504265v1" TargetMode="External"/><Relationship Id="rId69" Type="http://schemas.openxmlformats.org/officeDocument/2006/relationships/hyperlink" Target="https://hal.science/hal-02504216v1" TargetMode="External"/><Relationship Id="rId70" Type="http://schemas.openxmlformats.org/officeDocument/2006/relationships/hyperlink" Target="https://hal.science/hal-02504159v1" TargetMode="External"/><Relationship Id="rId71" Type="http://schemas.openxmlformats.org/officeDocument/2006/relationships/hyperlink" Target="https://hal.science/hal-02504054v1" TargetMode="External"/><Relationship Id="rId72" Type="http://schemas.openxmlformats.org/officeDocument/2006/relationships/hyperlink" Target="https://hal.science/hal-02504128v1" TargetMode="External"/><Relationship Id="rId73" Type="http://schemas.openxmlformats.org/officeDocument/2006/relationships/hyperlink" Target="https://hal.science/hal-02504121v1" TargetMode="External"/><Relationship Id="rId74" Type="http://schemas.openxmlformats.org/officeDocument/2006/relationships/hyperlink" Target="https://hal.science/hal-02504111v1" TargetMode="External"/><Relationship Id="rId75" Type="http://schemas.openxmlformats.org/officeDocument/2006/relationships/hyperlink" Target="https://hal.science/hal-02504060v1" TargetMode="External"/><Relationship Id="rId76" Type="http://schemas.openxmlformats.org/officeDocument/2006/relationships/hyperlink" Target="https://hal.science/hal-02504137v1" TargetMode="External"/><Relationship Id="rId77" Type="http://schemas.openxmlformats.org/officeDocument/2006/relationships/hyperlink" Target="https://hal.science/hal-02504129v1" TargetMode="External"/><Relationship Id="rId78" Type="http://schemas.openxmlformats.org/officeDocument/2006/relationships/hyperlink" Target="https://hal.science/hal-02504104v1" TargetMode="External"/><Relationship Id="rId79" Type="http://schemas.openxmlformats.org/officeDocument/2006/relationships/hyperlink" Target="https://hal.science/hal-02504095v1" TargetMode="External"/><Relationship Id="rId80" Type="http://schemas.openxmlformats.org/officeDocument/2006/relationships/hyperlink" Target="https://hal.science/hal-02504045v1" TargetMode="External"/><Relationship Id="rId81" Type="http://schemas.openxmlformats.org/officeDocument/2006/relationships/hyperlink" Target="https://hal.science/hal-02504123v1" TargetMode="External"/><Relationship Id="rId82" Type="http://schemas.openxmlformats.org/officeDocument/2006/relationships/hyperlink" Target="https://hal.science/hal-02504028v1" TargetMode="External"/><Relationship Id="rId83" Type="http://schemas.openxmlformats.org/officeDocument/2006/relationships/hyperlink" Target="https://hal.science/hal-02504087v1" TargetMode="External"/><Relationship Id="rId84" Type="http://schemas.openxmlformats.org/officeDocument/2006/relationships/hyperlink" Target="https://hal.science/hal-02504134v1" TargetMode="External"/><Relationship Id="rId85" Type="http://schemas.openxmlformats.org/officeDocument/2006/relationships/hyperlink" Target="https://hal.science/hal-02504124v1" TargetMode="External"/><Relationship Id="rId86" Type="http://schemas.openxmlformats.org/officeDocument/2006/relationships/hyperlink" Target="https://hal.science/hal-02504139v1" TargetMode="External"/><Relationship Id="rId87" Type="http://schemas.openxmlformats.org/officeDocument/2006/relationships/hyperlink" Target="https://hal.science/hal-02504119v1" TargetMode="External"/><Relationship Id="rId88" Type="http://schemas.openxmlformats.org/officeDocument/2006/relationships/hyperlink" Target="https://hal.science/hal-02504056v1" TargetMode="External"/><Relationship Id="rId89" Type="http://schemas.openxmlformats.org/officeDocument/2006/relationships/hyperlink" Target="https://hal.science/hal-02504039v1" TargetMode="External"/><Relationship Id="rId90" Type="http://schemas.openxmlformats.org/officeDocument/2006/relationships/hyperlink" Target="https://hal.science/hal-02504080v1" TargetMode="External"/><Relationship Id="rId91" Type="http://schemas.openxmlformats.org/officeDocument/2006/relationships/hyperlink" Target="https://hal.science/hal-02504116v1" TargetMode="External"/><Relationship Id="rId92" Type="http://schemas.openxmlformats.org/officeDocument/2006/relationships/hyperlink" Target="https://hal.science/hal-02504035v1" TargetMode="External"/><Relationship Id="rId93" Type="http://schemas.openxmlformats.org/officeDocument/2006/relationships/hyperlink" Target="https://hal.science/hal-02504049v1" TargetMode="External"/><Relationship Id="rId94" Type="http://schemas.openxmlformats.org/officeDocument/2006/relationships/hyperlink" Target="https://hal.science/hal-02504091v1" TargetMode="External"/><Relationship Id="rId95" Type="http://schemas.openxmlformats.org/officeDocument/2006/relationships/hyperlink" Target="https://hal.science/hal-02504072v1" TargetMode="External"/><Relationship Id="rId96" Type="http://schemas.openxmlformats.org/officeDocument/2006/relationships/hyperlink" Target="https://hal.science/hal-02504132v1" TargetMode="External"/><Relationship Id="rId97" Type="http://schemas.openxmlformats.org/officeDocument/2006/relationships/hyperlink" Target="https://hal.science/hal-02504065v1" TargetMode="External"/><Relationship Id="rId98" Type="http://schemas.openxmlformats.org/officeDocument/2006/relationships/hyperlink" Target="https://hal.science/hal-02504109v1" TargetMode="External"/><Relationship Id="rId99" Type="http://schemas.openxmlformats.org/officeDocument/2006/relationships/hyperlink" Target="https://hal.science/hal-02504084v1" TargetMode="External"/><Relationship Id="rId100" Type="http://schemas.openxmlformats.org/officeDocument/2006/relationships/hyperlink" Target="https://hal.science/hal-02504144v1" TargetMode="External"/><Relationship Id="rId101" Type="http://schemas.openxmlformats.org/officeDocument/2006/relationships/hyperlink" Target="https://hal.science/hal-02503880v1" TargetMode="External"/><Relationship Id="rId102" Type="http://schemas.openxmlformats.org/officeDocument/2006/relationships/hyperlink" Target="https://hal.science/hal-02504070v1" TargetMode="External"/><Relationship Id="rId103" Type="http://schemas.openxmlformats.org/officeDocument/2006/relationships/hyperlink" Target="https://hal.science/hal-02504074v1" TargetMode="External"/><Relationship Id="rId104" Type="http://schemas.openxmlformats.org/officeDocument/2006/relationships/hyperlink" Target="https://hal.science/hal-02504076v1" TargetMode="External"/><Relationship Id="rId105" Type="http://schemas.openxmlformats.org/officeDocument/2006/relationships/hyperlink" Target="https://hal.science/hal-02504043v1" TargetMode="External"/><Relationship Id="rId106" Type="http://schemas.openxmlformats.org/officeDocument/2006/relationships/hyperlink" Target="https://hal.science/hal-02504136v1" TargetMode="External"/><Relationship Id="rId107" Type="http://schemas.openxmlformats.org/officeDocument/2006/relationships/hyperlink" Target="https://hal.science/hal-02503832v1" TargetMode="External"/><Relationship Id="rId108" Type="http://schemas.openxmlformats.org/officeDocument/2006/relationships/hyperlink" Target="https://hal.science/hal-02503068v1" TargetMode="External"/><Relationship Id="rId109" Type="http://schemas.openxmlformats.org/officeDocument/2006/relationships/hyperlink" Target="https://hal.science/hal-02503112v1" TargetMode="External"/><Relationship Id="rId110" Type="http://schemas.openxmlformats.org/officeDocument/2006/relationships/hyperlink" Target="https://hal.science/hal-02503829v1" TargetMode="External"/><Relationship Id="rId111" Type="http://schemas.openxmlformats.org/officeDocument/2006/relationships/hyperlink" Target="https://hal.science/hal-02503850v1" TargetMode="External"/><Relationship Id="rId112" Type="http://schemas.openxmlformats.org/officeDocument/2006/relationships/hyperlink" Target="https://hal.science/hal-02503864v1" TargetMode="External"/><Relationship Id="rId113" Type="http://schemas.openxmlformats.org/officeDocument/2006/relationships/hyperlink" Target="https://hal.science/hal-02503853v1" TargetMode="External"/><Relationship Id="rId114" Type="http://schemas.openxmlformats.org/officeDocument/2006/relationships/hyperlink" Target="https://hal.science/hal-02503859v1" TargetMode="External"/><Relationship Id="rId115" Type="http://schemas.openxmlformats.org/officeDocument/2006/relationships/hyperlink" Target="https://hal.science/hal-02503871v1" TargetMode="External"/><Relationship Id="rId116" Type="http://schemas.openxmlformats.org/officeDocument/2006/relationships/hyperlink" Target="https://hal.science/hal-02503118v1" TargetMode="External"/><Relationship Id="rId117" Type="http://schemas.openxmlformats.org/officeDocument/2006/relationships/hyperlink" Target="https://hal.science/hal-02503098v1" TargetMode="External"/><Relationship Id="rId118" Type="http://schemas.openxmlformats.org/officeDocument/2006/relationships/hyperlink" Target="https://hal.science/hal-02503149v1" TargetMode="External"/><Relationship Id="rId119" Type="http://schemas.openxmlformats.org/officeDocument/2006/relationships/hyperlink" Target="https://hal.science/hal-02503107v1" TargetMode="External"/><Relationship Id="rId120" Type="http://schemas.openxmlformats.org/officeDocument/2006/relationships/hyperlink" Target="https://hal.science/hal-02503797v1" TargetMode="External"/><Relationship Id="rId121" Type="http://schemas.openxmlformats.org/officeDocument/2006/relationships/hyperlink" Target="https://hal.science/hal-02503788v1" TargetMode="External"/><Relationship Id="rId122" Type="http://schemas.openxmlformats.org/officeDocument/2006/relationships/hyperlink" Target="https://hal.science/hal-02503834v1" TargetMode="External"/><Relationship Id="rId123" Type="http://schemas.openxmlformats.org/officeDocument/2006/relationships/hyperlink" Target="https://hal.science/hal-02503801v1" TargetMode="External"/><Relationship Id="rId124" Type="http://schemas.openxmlformats.org/officeDocument/2006/relationships/hyperlink" Target="https://hal.science/hal-02503791v1" TargetMode="External"/><Relationship Id="rId125" Type="http://schemas.openxmlformats.org/officeDocument/2006/relationships/hyperlink" Target="https://hal.science/hal-02503861v1" TargetMode="External"/><Relationship Id="rId126" Type="http://schemas.openxmlformats.org/officeDocument/2006/relationships/hyperlink" Target="https://hal.science/hal-02503779v1" TargetMode="External"/><Relationship Id="rId127" Type="http://schemas.openxmlformats.org/officeDocument/2006/relationships/hyperlink" Target="https://hal.science/hal-02503846v1" TargetMode="External"/><Relationship Id="rId128" Type="http://schemas.openxmlformats.org/officeDocument/2006/relationships/hyperlink" Target="https://hal.science/hal-02503116v1" TargetMode="External"/><Relationship Id="rId129" Type="http://schemas.openxmlformats.org/officeDocument/2006/relationships/hyperlink" Target="https://hal.science/hal-02503089v1" TargetMode="External"/><Relationship Id="rId130" Type="http://schemas.openxmlformats.org/officeDocument/2006/relationships/hyperlink" Target="https://hal.science/hal-02503137v1" TargetMode="External"/><Relationship Id="rId131" Type="http://schemas.openxmlformats.org/officeDocument/2006/relationships/hyperlink" Target="https://hal.science/hal-02503857v1" TargetMode="External"/><Relationship Id="rId132" Type="http://schemas.openxmlformats.org/officeDocument/2006/relationships/hyperlink" Target="https://hal.science/hal-02503875v1" TargetMode="External"/><Relationship Id="rId133" Type="http://schemas.openxmlformats.org/officeDocument/2006/relationships/hyperlink" Target="https://hal.science/hal-02503079v1" TargetMode="External"/><Relationship Id="rId134" Type="http://schemas.openxmlformats.org/officeDocument/2006/relationships/hyperlink" Target="https://hal.science/hal-02503074v1" TargetMode="External"/><Relationship Id="rId135" Type="http://schemas.openxmlformats.org/officeDocument/2006/relationships/hyperlink" Target="https://hal.science/hal-02503820v1" TargetMode="External"/><Relationship Id="rId136" Type="http://schemas.openxmlformats.org/officeDocument/2006/relationships/hyperlink" Target="https://hal.science/hal-02503782v1" TargetMode="External"/><Relationship Id="rId137" Type="http://schemas.openxmlformats.org/officeDocument/2006/relationships/hyperlink" Target="https://hal.science/hal-02503838v1" TargetMode="External"/><Relationship Id="rId138" Type="http://schemas.openxmlformats.org/officeDocument/2006/relationships/hyperlink" Target="https://hal.science/hal-02503059v1" TargetMode="External"/><Relationship Id="rId139" Type="http://schemas.openxmlformats.org/officeDocument/2006/relationships/hyperlink" Target="https://hal.science/hal-02503106v1" TargetMode="External"/><Relationship Id="rId140" Type="http://schemas.openxmlformats.org/officeDocument/2006/relationships/hyperlink" Target="https://hal.science/hal-02503084v1" TargetMode="External"/><Relationship Id="rId141" Type="http://schemas.openxmlformats.org/officeDocument/2006/relationships/hyperlink" Target="https://hal.science/hal-02503784v1" TargetMode="External"/><Relationship Id="rId142" Type="http://schemas.openxmlformats.org/officeDocument/2006/relationships/hyperlink" Target="https://hal.science/hal-02503131v1" TargetMode="External"/><Relationship Id="rId143" Type="http://schemas.openxmlformats.org/officeDocument/2006/relationships/hyperlink" Target="https://hal.science/hal-02503159v1" TargetMode="External"/><Relationship Id="rId144" Type="http://schemas.openxmlformats.org/officeDocument/2006/relationships/hyperlink" Target="https://hal.science/hal-02503126v1" TargetMode="External"/><Relationship Id="rId145" Type="http://schemas.openxmlformats.org/officeDocument/2006/relationships/hyperlink" Target="https://hal.science/hal-02503122v1" TargetMode="External"/><Relationship Id="rId146" Type="http://schemas.openxmlformats.org/officeDocument/2006/relationships/hyperlink" Target="https://hal.science/hal-02503143v1" TargetMode="External"/><Relationship Id="rId147" Type="http://schemas.openxmlformats.org/officeDocument/2006/relationships/hyperlink" Target="https://hal.science/hal-02503094v1" TargetMode="External"/><Relationship Id="rId148" Type="http://schemas.openxmlformats.org/officeDocument/2006/relationships/hyperlink" Target="https://hal.science/hal-02503146v1" TargetMode="External"/><Relationship Id="rId149" Type="http://schemas.openxmlformats.org/officeDocument/2006/relationships/hyperlink" Target="https://hal.science/hal-02503154v1" TargetMode="External"/><Relationship Id="rId150" Type="http://schemas.openxmlformats.org/officeDocument/2006/relationships/hyperlink" Target="https://hal.science/hal-02503862v1" TargetMode="External"/><Relationship Id="rId151" Type="http://schemas.openxmlformats.org/officeDocument/2006/relationships/hyperlink" Target="https://hal.science/hal-02503825v1" TargetMode="External"/><Relationship Id="rId152" Type="http://schemas.openxmlformats.org/officeDocument/2006/relationships/hyperlink" Target="https://hal.science/hal-02503845v1" TargetMode="External"/><Relationship Id="rId153" Type="http://schemas.openxmlformats.org/officeDocument/2006/relationships/hyperlink" Target="https://hal.science/hal-02503842v1" TargetMode="External"/><Relationship Id="rId154" Type="http://schemas.openxmlformats.org/officeDocument/2006/relationships/hyperlink" Target="https://hal.science/hal-02503856v1" TargetMode="External"/><Relationship Id="rId155" Type="http://schemas.openxmlformats.org/officeDocument/2006/relationships/hyperlink" Target="https://hal.science/hal-02503836v1" TargetMode="External"/><Relationship Id="rId156" Type="http://schemas.openxmlformats.org/officeDocument/2006/relationships/hyperlink" Target="https://hal.science/hal-02503841v1" TargetMode="External"/><Relationship Id="rId157" Type="http://schemas.openxmlformats.org/officeDocument/2006/relationships/hyperlink" Target="https://hal.science/hal-02503062v1" TargetMode="External"/><Relationship Id="rId158" Type="http://schemas.openxmlformats.org/officeDocument/2006/relationships/hyperlink" Target="https://hal.science/hal-02503104v1" TargetMode="External"/><Relationship Id="rId159" Type="http://schemas.openxmlformats.org/officeDocument/2006/relationships/hyperlink" Target="https://hal.science/hal-02503101v1" TargetMode="External"/><Relationship Id="rId160" Type="http://schemas.openxmlformats.org/officeDocument/2006/relationships/hyperlink" Target="https://hal.science/hal-02503868v1" TargetMode="External"/><Relationship Id="rId161" Type="http://schemas.openxmlformats.org/officeDocument/2006/relationships/hyperlink" Target="https://hal.science/hal-02503878v1" TargetMode="External"/><Relationship Id="rId162" Type="http://schemas.openxmlformats.org/officeDocument/2006/relationships/hyperlink" Target="https://hal.science/hal-02503793v1" TargetMode="External"/><Relationship Id="rId163" Type="http://schemas.openxmlformats.org/officeDocument/2006/relationships/hyperlink" Target="https://hal.science/hal-02503835v1" TargetMode="External"/><Relationship Id="rId164" Type="http://schemas.openxmlformats.org/officeDocument/2006/relationships/hyperlink" Target="https://hal.science/hal-02503088v1" TargetMode="External"/><Relationship Id="rId165" Type="http://schemas.openxmlformats.org/officeDocument/2006/relationships/hyperlink" Target="https://hal.science/hal-02503110v1" TargetMode="External"/><Relationship Id="rId166" Type="http://schemas.openxmlformats.org/officeDocument/2006/relationships/hyperlink" Target="https://hal.science/hal-02503141v1" TargetMode="External"/><Relationship Id="rId167" Type="http://schemas.openxmlformats.org/officeDocument/2006/relationships/hyperlink" Target="https://hal.science/hal-02503051v1" TargetMode="External"/><Relationship Id="rId168" Type="http://schemas.openxmlformats.org/officeDocument/2006/relationships/hyperlink" Target="https://hal.science/hal-02503040v1" TargetMode="External"/><Relationship Id="rId169" Type="http://schemas.openxmlformats.org/officeDocument/2006/relationships/hyperlink" Target="https://hal.science/hal-02502938v1" TargetMode="External"/><Relationship Id="rId170" Type="http://schemas.openxmlformats.org/officeDocument/2006/relationships/hyperlink" Target="https://hal.science/hal-02502903v1" TargetMode="External"/><Relationship Id="rId171" Type="http://schemas.openxmlformats.org/officeDocument/2006/relationships/hyperlink" Target="https://hal.science/hal-02502884v1" TargetMode="External"/><Relationship Id="rId172" Type="http://schemas.openxmlformats.org/officeDocument/2006/relationships/hyperlink" Target="https://hal.science/hal-02502921v1" TargetMode="External"/><Relationship Id="rId173" Type="http://schemas.openxmlformats.org/officeDocument/2006/relationships/hyperlink" Target="https://hal.science/hal-02502997v1" TargetMode="External"/><Relationship Id="rId174" Type="http://schemas.openxmlformats.org/officeDocument/2006/relationships/hyperlink" Target="https://hal.science/hal-02502870v1" TargetMode="External"/><Relationship Id="rId175" Type="http://schemas.openxmlformats.org/officeDocument/2006/relationships/hyperlink" Target="https://hal.science/hal-02502912v1" TargetMode="External"/><Relationship Id="rId176" Type="http://schemas.openxmlformats.org/officeDocument/2006/relationships/hyperlink" Target="https://hal.science/hal-02502946v1" TargetMode="External"/><Relationship Id="rId177" Type="http://schemas.openxmlformats.org/officeDocument/2006/relationships/hyperlink" Target="https://hal.science/hal-02502992v1" TargetMode="External"/><Relationship Id="rId178" Type="http://schemas.openxmlformats.org/officeDocument/2006/relationships/hyperlink" Target="https://hal.science/hal-02502978v1" TargetMode="External"/><Relationship Id="rId179" Type="http://schemas.openxmlformats.org/officeDocument/2006/relationships/hyperlink" Target="https://hal.science/hal-02503034v1" TargetMode="External"/><Relationship Id="rId180" Type="http://schemas.openxmlformats.org/officeDocument/2006/relationships/hyperlink" Target="https://hal.science/hal-02502966v1" TargetMode="External"/><Relationship Id="rId181" Type="http://schemas.openxmlformats.org/officeDocument/2006/relationships/hyperlink" Target="https://hal.science/hal-02502960v1" TargetMode="External"/><Relationship Id="rId182" Type="http://schemas.openxmlformats.org/officeDocument/2006/relationships/hyperlink" Target="https://hal.science/hal-02503044v1" TargetMode="External"/><Relationship Id="rId183" Type="http://schemas.openxmlformats.org/officeDocument/2006/relationships/hyperlink" Target="https://hal.science/hal-02503002v1" TargetMode="External"/><Relationship Id="rId184" Type="http://schemas.openxmlformats.org/officeDocument/2006/relationships/hyperlink" Target="https://hal.science/hal-02503031v1" TargetMode="External"/><Relationship Id="rId185" Type="http://schemas.openxmlformats.org/officeDocument/2006/relationships/hyperlink" Target="https://hal.science/hal-02503008v1" TargetMode="External"/><Relationship Id="rId186" Type="http://schemas.openxmlformats.org/officeDocument/2006/relationships/hyperlink" Target="https://hal.science/hal-02502932v1" TargetMode="External"/><Relationship Id="rId187" Type="http://schemas.openxmlformats.org/officeDocument/2006/relationships/hyperlink" Target="https://hal.science/hal-02502866v1" TargetMode="External"/><Relationship Id="rId188" Type="http://schemas.openxmlformats.org/officeDocument/2006/relationships/hyperlink" Target="https://hal.science/hal-02503026v1" TargetMode="External"/><Relationship Id="rId189" Type="http://schemas.openxmlformats.org/officeDocument/2006/relationships/hyperlink" Target="https://hal.science/hal-02503056v1" TargetMode="External"/><Relationship Id="rId190" Type="http://schemas.openxmlformats.org/officeDocument/2006/relationships/hyperlink" Target="https://hal.science/hal-02502918v1" TargetMode="External"/><Relationship Id="rId191" Type="http://schemas.openxmlformats.org/officeDocument/2006/relationships/hyperlink" Target="https://hal.science/hal-02502986v1" TargetMode="External"/><Relationship Id="rId192" Type="http://schemas.openxmlformats.org/officeDocument/2006/relationships/hyperlink" Target="https://hal.science/hal-02502882v1" TargetMode="External"/><Relationship Id="rId193" Type="http://schemas.openxmlformats.org/officeDocument/2006/relationships/hyperlink" Target="https://hal.science/hal-02502877v1" TargetMode="External"/><Relationship Id="rId194" Type="http://schemas.openxmlformats.org/officeDocument/2006/relationships/hyperlink" Target="https://hal.science/hal-02502849v1" TargetMode="External"/><Relationship Id="rId195" Type="http://schemas.openxmlformats.org/officeDocument/2006/relationships/hyperlink" Target="https://hal.science/hal-02502969v1" TargetMode="External"/><Relationship Id="rId196" Type="http://schemas.openxmlformats.org/officeDocument/2006/relationships/hyperlink" Target="https://hal.science/hal-02502929v1" TargetMode="External"/><Relationship Id="rId197" Type="http://schemas.openxmlformats.org/officeDocument/2006/relationships/hyperlink" Target="https://hal.science/hal-02502906v1" TargetMode="External"/><Relationship Id="rId198" Type="http://schemas.openxmlformats.org/officeDocument/2006/relationships/hyperlink" Target="https://hal.science/hal-02502981v1" TargetMode="External"/><Relationship Id="rId199" Type="http://schemas.openxmlformats.org/officeDocument/2006/relationships/hyperlink" Target="https://hal.science/hal-02502951v1" TargetMode="External"/><Relationship Id="rId200" Type="http://schemas.openxmlformats.org/officeDocument/2006/relationships/hyperlink" Target="https://hal.science/hal-02503020v1" TargetMode="External"/><Relationship Id="rId201" Type="http://schemas.openxmlformats.org/officeDocument/2006/relationships/hyperlink" Target="https://hal.science/hal-02502891v1" TargetMode="External"/><Relationship Id="rId202" Type="http://schemas.openxmlformats.org/officeDocument/2006/relationships/hyperlink" Target="https://hal.science/hal-02503006v1" TargetMode="External"/><Relationship Id="rId203" Type="http://schemas.openxmlformats.org/officeDocument/2006/relationships/hyperlink" Target="https://hal.science/hal-02503015v1" TargetMode="External"/><Relationship Id="rId204" Type="http://schemas.openxmlformats.org/officeDocument/2006/relationships/hyperlink" Target="https://hal.science/hal-02502948v1" TargetMode="External"/><Relationship Id="rId205" Type="http://schemas.openxmlformats.org/officeDocument/2006/relationships/hyperlink" Target="https://hal.science/hal-02502856v1" TargetMode="External"/><Relationship Id="rId206" Type="http://schemas.openxmlformats.org/officeDocument/2006/relationships/hyperlink" Target="https://hal.science/hal-02502971v1" TargetMode="External"/><Relationship Id="rId207" Type="http://schemas.openxmlformats.org/officeDocument/2006/relationships/hyperlink" Target="https://hal.science/hal-02502925v1" TargetMode="External"/><Relationship Id="rId208" Type="http://schemas.openxmlformats.org/officeDocument/2006/relationships/hyperlink" Target="https://hal.science/hal-02502897v1" TargetMode="External"/><Relationship Id="rId209" Type="http://schemas.openxmlformats.org/officeDocument/2006/relationships/hyperlink" Target="https://hal.science/hal-02503048v1" TargetMode="External"/><Relationship Id="rId210" Type="http://schemas.openxmlformats.org/officeDocument/2006/relationships/hyperlink" Target="https://hal.science/hal-02502956v1" TargetMode="External"/><Relationship Id="rId211" Type="http://schemas.openxmlformats.org/officeDocument/2006/relationships/hyperlink" Target="https://hal.science/hal-02422134v1" TargetMode="External"/><Relationship Id="rId212" Type="http://schemas.openxmlformats.org/officeDocument/2006/relationships/hyperlink" Target="https://hal.science/hal-02502860v1" TargetMode="External"/><Relationship Id="rId213" Type="http://schemas.openxmlformats.org/officeDocument/2006/relationships/hyperlink" Target="https://hal.science/hal-02502887v1" TargetMode="External"/><Relationship Id="rId214" Type="http://schemas.openxmlformats.org/officeDocument/2006/relationships/hyperlink" Target="https://hal.science/hal-02422031v1" TargetMode="External"/><Relationship Id="rId215" Type="http://schemas.openxmlformats.org/officeDocument/2006/relationships/hyperlink" Target="https://hal.science/hal-02422030v1" TargetMode="External"/><Relationship Id="rId216" Type="http://schemas.openxmlformats.org/officeDocument/2006/relationships/hyperlink" Target="https://hal.science/hal-02421951v1" TargetMode="External"/><Relationship Id="rId217" Type="http://schemas.openxmlformats.org/officeDocument/2006/relationships/hyperlink" Target="https://hal.science/hal-02421893v1" TargetMode="External"/><Relationship Id="rId218" Type="http://schemas.openxmlformats.org/officeDocument/2006/relationships/hyperlink" Target="https://hal.science/hal-02422120v1" TargetMode="External"/><Relationship Id="rId219" Type="http://schemas.openxmlformats.org/officeDocument/2006/relationships/hyperlink" Target="https://hal.science/hal-02421965v1" TargetMode="External"/><Relationship Id="rId220" Type="http://schemas.openxmlformats.org/officeDocument/2006/relationships/hyperlink" Target="https://hal.science/hal-02422131v1" TargetMode="External"/><Relationship Id="rId221" Type="http://schemas.openxmlformats.org/officeDocument/2006/relationships/hyperlink" Target="https://hal.science/hal-02421943v1" TargetMode="External"/><Relationship Id="rId222" Type="http://schemas.openxmlformats.org/officeDocument/2006/relationships/hyperlink" Target="https://hal.science/hal-02422130v1" TargetMode="External"/><Relationship Id="rId223" Type="http://schemas.openxmlformats.org/officeDocument/2006/relationships/hyperlink" Target="https://hal.science/hal-02422027v1" TargetMode="External"/><Relationship Id="rId224" Type="http://schemas.openxmlformats.org/officeDocument/2006/relationships/hyperlink" Target="https://hal.science/hal-02422127v1" TargetMode="External"/><Relationship Id="rId225" Type="http://schemas.openxmlformats.org/officeDocument/2006/relationships/hyperlink" Target="https://hal.science/hal-02502824v1" TargetMode="External"/><Relationship Id="rId226" Type="http://schemas.openxmlformats.org/officeDocument/2006/relationships/hyperlink" Target="https://hal.science/hal-02422049v1" TargetMode="External"/><Relationship Id="rId227" Type="http://schemas.openxmlformats.org/officeDocument/2006/relationships/hyperlink" Target="https://hal.science/hal-02421962v1" TargetMode="External"/><Relationship Id="rId228" Type="http://schemas.openxmlformats.org/officeDocument/2006/relationships/hyperlink" Target="https://hal.science/hal-02421927v1" TargetMode="External"/><Relationship Id="rId229" Type="http://schemas.openxmlformats.org/officeDocument/2006/relationships/hyperlink" Target="https://hal.science/hal-02421922v1" TargetMode="External"/><Relationship Id="rId230" Type="http://schemas.openxmlformats.org/officeDocument/2006/relationships/hyperlink" Target="https://hal.science/hal-02422115v1" TargetMode="External"/><Relationship Id="rId231" Type="http://schemas.openxmlformats.org/officeDocument/2006/relationships/hyperlink" Target="https://hal.science/hal-02422052v1" TargetMode="External"/><Relationship Id="rId232" Type="http://schemas.openxmlformats.org/officeDocument/2006/relationships/hyperlink" Target="https://hal.science/hal-02422128v1" TargetMode="External"/><Relationship Id="rId233" Type="http://schemas.openxmlformats.org/officeDocument/2006/relationships/hyperlink" Target="https://hal.science/hal-02422126v1" TargetMode="External"/><Relationship Id="rId234" Type="http://schemas.openxmlformats.org/officeDocument/2006/relationships/hyperlink" Target="https://hal.science/hal-02422041v1" TargetMode="External"/><Relationship Id="rId235" Type="http://schemas.openxmlformats.org/officeDocument/2006/relationships/hyperlink" Target="https://hal.science/hal-02422021v1" TargetMode="External"/><Relationship Id="rId236" Type="http://schemas.openxmlformats.org/officeDocument/2006/relationships/hyperlink" Target="https://hal.science/hal-02422117v1" TargetMode="External"/><Relationship Id="rId237" Type="http://schemas.openxmlformats.org/officeDocument/2006/relationships/hyperlink" Target="https://hal.science/hal-02422045v1" TargetMode="External"/><Relationship Id="rId238" Type="http://schemas.openxmlformats.org/officeDocument/2006/relationships/hyperlink" Target="https://hal.science/hal-02421936v1" TargetMode="External"/><Relationship Id="rId239" Type="http://schemas.openxmlformats.org/officeDocument/2006/relationships/hyperlink" Target="https://hal.science/hal-02502814v1" TargetMode="External"/><Relationship Id="rId240" Type="http://schemas.openxmlformats.org/officeDocument/2006/relationships/hyperlink" Target="https://hal.science/hal-02421945v1" TargetMode="External"/><Relationship Id="rId241" Type="http://schemas.openxmlformats.org/officeDocument/2006/relationships/hyperlink" Target="https://hal.science/hal-02422035v1" TargetMode="External"/><Relationship Id="rId242" Type="http://schemas.openxmlformats.org/officeDocument/2006/relationships/hyperlink" Target="https://hal.science/hal-02421955v1" TargetMode="External"/><Relationship Id="rId243" Type="http://schemas.openxmlformats.org/officeDocument/2006/relationships/hyperlink" Target="https://hal.science/hal-02422124v1" TargetMode="External"/><Relationship Id="rId244" Type="http://schemas.openxmlformats.org/officeDocument/2006/relationships/hyperlink" Target="https://hal.science/hal-02422113v1" TargetMode="External"/><Relationship Id="rId245" Type="http://schemas.openxmlformats.org/officeDocument/2006/relationships/hyperlink" Target="https://hal.science/hal-02422047v1" TargetMode="External"/><Relationship Id="rId246" Type="http://schemas.openxmlformats.org/officeDocument/2006/relationships/hyperlink" Target="https://hal.science/hal-02422132v1" TargetMode="External"/><Relationship Id="rId247" Type="http://schemas.openxmlformats.org/officeDocument/2006/relationships/hyperlink" Target="https://hal.science/hal-02422125v1" TargetMode="External"/><Relationship Id="rId248" Type="http://schemas.openxmlformats.org/officeDocument/2006/relationships/hyperlink" Target="https://hal.science/hal-02422122v1" TargetMode="External"/><Relationship Id="rId249" Type="http://schemas.openxmlformats.org/officeDocument/2006/relationships/hyperlink" Target="https://hal.science/hal-02421958v1" TargetMode="External"/><Relationship Id="rId250" Type="http://schemas.openxmlformats.org/officeDocument/2006/relationships/hyperlink" Target="https://hal.science/hal-02422024v1" TargetMode="External"/><Relationship Id="rId251" Type="http://schemas.openxmlformats.org/officeDocument/2006/relationships/hyperlink" Target="https://hal.science/hal-02422102v1" TargetMode="External"/><Relationship Id="rId252" Type="http://schemas.openxmlformats.org/officeDocument/2006/relationships/hyperlink" Target="https://hal.science/hal-02421872v1" TargetMode="External"/><Relationship Id="rId253" Type="http://schemas.openxmlformats.org/officeDocument/2006/relationships/hyperlink" Target="https://hal.science/hal-02616208v1" TargetMode="External"/><Relationship Id="rId254" Type="http://schemas.openxmlformats.org/officeDocument/2006/relationships/hyperlink" Target="https://hal.science/hal-02616207v1" TargetMode="External"/><Relationship Id="rId255" Type="http://schemas.openxmlformats.org/officeDocument/2006/relationships/hyperlink" Target="https://hal.science/hal-02616196v1" TargetMode="External"/><Relationship Id="rId256" Type="http://schemas.openxmlformats.org/officeDocument/2006/relationships/hyperlink" Target="https://hal.science/hal-02616195v1" TargetMode="External"/><Relationship Id="rId257" Type="http://schemas.openxmlformats.org/officeDocument/2006/relationships/hyperlink" Target="https://hal.science/hal-02616109v1" TargetMode="External"/><Relationship Id="rId258" Type="http://schemas.openxmlformats.org/officeDocument/2006/relationships/hyperlink" Target="https://hal.science/hal-02616110v1" TargetMode="External"/><Relationship Id="rId259" Type="http://schemas.openxmlformats.org/officeDocument/2006/relationships/hyperlink" Target="https://hal.science/hal-02616100v1" TargetMode="External"/><Relationship Id="rId260" Type="http://schemas.openxmlformats.org/officeDocument/2006/relationships/hyperlink" Target="https://hal.science/hal-02616112v1" TargetMode="External"/><Relationship Id="rId261" Type="http://schemas.openxmlformats.org/officeDocument/2006/relationships/hyperlink" Target="https://hal.science/hal-02616114v1" TargetMode="External"/><Relationship Id="rId262" Type="http://schemas.openxmlformats.org/officeDocument/2006/relationships/hyperlink" Target="https://hal.science/hal-02616197v1" TargetMode="External"/><Relationship Id="rId263" Type="http://schemas.openxmlformats.org/officeDocument/2006/relationships/hyperlink" Target="https://hal.science/hal-02616140v1" TargetMode="External"/><Relationship Id="rId264" Type="http://schemas.openxmlformats.org/officeDocument/2006/relationships/hyperlink" Target="https://hal.science/hal-02616144v1" TargetMode="External"/><Relationship Id="rId265" Type="http://schemas.openxmlformats.org/officeDocument/2006/relationships/hyperlink" Target="https://hal.science/hal-02616143v1" TargetMode="External"/><Relationship Id="rId266" Type="http://schemas.openxmlformats.org/officeDocument/2006/relationships/hyperlink" Target="https://hal.science/hal-02616142v1" TargetMode="External"/><Relationship Id="rId267" Type="http://schemas.openxmlformats.org/officeDocument/2006/relationships/hyperlink" Target="https://hal.science/hal-02616199v1" TargetMode="External"/><Relationship Id="rId268" Type="http://schemas.openxmlformats.org/officeDocument/2006/relationships/hyperlink" Target="https://hal.science/hal-02616141v1" TargetMode="External"/><Relationship Id="rId269" Type="http://schemas.openxmlformats.org/officeDocument/2006/relationships/hyperlink" Target="https://hal.science/hal-02616193v1" TargetMode="External"/><Relationship Id="rId270" Type="http://schemas.openxmlformats.org/officeDocument/2006/relationships/hyperlink" Target="https://hal.science/hal-02616132v1" TargetMode="External"/><Relationship Id="rId271" Type="http://schemas.openxmlformats.org/officeDocument/2006/relationships/hyperlink" Target="https://hal.science/hal-02616139v1" TargetMode="External"/><Relationship Id="rId272" Type="http://schemas.openxmlformats.org/officeDocument/2006/relationships/hyperlink" Target="https://hal.science/hal-02616131v1" TargetMode="External"/><Relationship Id="rId273" Type="http://schemas.openxmlformats.org/officeDocument/2006/relationships/hyperlink" Target="https://hal.science/hal-02616198v1" TargetMode="External"/><Relationship Id="rId274" Type="http://schemas.openxmlformats.org/officeDocument/2006/relationships/hyperlink" Target="https://hal.science/hal-02616135v1" TargetMode="External"/><Relationship Id="rId275" Type="http://schemas.openxmlformats.org/officeDocument/2006/relationships/hyperlink" Target="https://hal.science/hal-02616189v1" TargetMode="External"/><Relationship Id="rId276" Type="http://schemas.openxmlformats.org/officeDocument/2006/relationships/hyperlink" Target="https://hal.science/hal-02616137v1" TargetMode="External"/><Relationship Id="rId277" Type="http://schemas.openxmlformats.org/officeDocument/2006/relationships/hyperlink" Target="https://hal.science/hal-02616192v1" TargetMode="External"/><Relationship Id="rId278" Type="http://schemas.openxmlformats.org/officeDocument/2006/relationships/hyperlink" Target="https://hal.science/hal-02616128v1" TargetMode="External"/><Relationship Id="rId279" Type="http://schemas.openxmlformats.org/officeDocument/2006/relationships/hyperlink" Target="https://hal.science/hal-02616187v1" TargetMode="External"/><Relationship Id="rId280" Type="http://schemas.openxmlformats.org/officeDocument/2006/relationships/hyperlink" Target="https://hal.science/hal-02616130v1" TargetMode="External"/><Relationship Id="rId281" Type="http://schemas.openxmlformats.org/officeDocument/2006/relationships/hyperlink" Target="https://hal.science/hal-02616118v1" TargetMode="External"/><Relationship Id="rId282" Type="http://schemas.openxmlformats.org/officeDocument/2006/relationships/hyperlink" Target="https://hal.science/hal-02616165v1" TargetMode="External"/><Relationship Id="rId283" Type="http://schemas.openxmlformats.org/officeDocument/2006/relationships/hyperlink" Target="https://hal.science/hal-02616184v1" TargetMode="External"/><Relationship Id="rId284" Type="http://schemas.openxmlformats.org/officeDocument/2006/relationships/hyperlink" Target="https://hal.science/hal-02616175v1" TargetMode="External"/><Relationship Id="rId285" Type="http://schemas.openxmlformats.org/officeDocument/2006/relationships/hyperlink" Target="https://hal.science/hal-02616122v1" TargetMode="External"/><Relationship Id="rId286" Type="http://schemas.openxmlformats.org/officeDocument/2006/relationships/hyperlink" Target="https://hal.science/hal-02616119v1" TargetMode="External"/><Relationship Id="rId287" Type="http://schemas.openxmlformats.org/officeDocument/2006/relationships/hyperlink" Target="https://hal.science/hal-02616170v1" TargetMode="External"/><Relationship Id="rId288" Type="http://schemas.openxmlformats.org/officeDocument/2006/relationships/hyperlink" Target="https://hal.science/hal-02616127v1" TargetMode="External"/><Relationship Id="rId289" Type="http://schemas.openxmlformats.org/officeDocument/2006/relationships/hyperlink" Target="https://hal.science/hal-02616159v1" TargetMode="External"/><Relationship Id="rId290" Type="http://schemas.openxmlformats.org/officeDocument/2006/relationships/hyperlink" Target="https://hal.science/hal-02616115v1" TargetMode="External"/><Relationship Id="rId291" Type="http://schemas.openxmlformats.org/officeDocument/2006/relationships/hyperlink" Target="https://hal.science/hal-02616117v1" TargetMode="External"/><Relationship Id="rId292" Type="http://schemas.openxmlformats.org/officeDocument/2006/relationships/hyperlink" Target="https://hal.science/hal-02616150v1" TargetMode="External"/><Relationship Id="rId293" Type="http://schemas.openxmlformats.org/officeDocument/2006/relationships/hyperlink" Target="https://hal.science/hal-02616149v1" TargetMode="External"/><Relationship Id="rId294" Type="http://schemas.openxmlformats.org/officeDocument/2006/relationships/hyperlink" Target="https://hal.science/hal-02616145v1" TargetMode="External"/><Relationship Id="rId295" Type="http://schemas.openxmlformats.org/officeDocument/2006/relationships/hyperlink" Target="https://hal.science/hal-02616121v1" TargetMode="External"/><Relationship Id="rId296" Type="http://schemas.openxmlformats.org/officeDocument/2006/relationships/hyperlink" Target="https://hal.science/hal-02616153v1" TargetMode="External"/><Relationship Id="rId297" Type="http://schemas.openxmlformats.org/officeDocument/2006/relationships/hyperlink" Target="https://hal.science/hal-02616116v1" TargetMode="External"/><Relationship Id="rId298" Type="http://schemas.openxmlformats.org/officeDocument/2006/relationships/hyperlink" Target="https://hal.science/hal-02616147v1" TargetMode="External"/><Relationship Id="rId299" Type="http://schemas.openxmlformats.org/officeDocument/2006/relationships/hyperlink" Target="https://hal.science/hal-02616148v1" TargetMode="External"/><Relationship Id="rId300" Type="http://schemas.openxmlformats.org/officeDocument/2006/relationships/hyperlink" Target="https://hal.science/hal-02616146v1" TargetMode="External"/><Relationship Id="rId301" Type="http://schemas.openxmlformats.org/officeDocument/2006/relationships/hyperlink" Target="https://hal.science/hal-02616452v1"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 Quin</dc:title>
  <dc:description>CV</dc:description>
  <dc:subject/>
  <cp:keywords/>
  <cp:category/>
  <cp:lastModifiedBy/>
  <dcterms:created xsi:type="dcterms:W3CDTF">2026-05-02T05:10:50+02:00</dcterms:created>
  <dcterms:modified xsi:type="dcterms:W3CDTF">2026-05-02T05:10:50+02:00</dcterms:modified>
</cp:coreProperties>
</file>

<file path=docProps/custom.xml><?xml version="1.0" encoding="utf-8"?>
<Properties xmlns="http://schemas.openxmlformats.org/officeDocument/2006/custom-properties" xmlns:vt="http://schemas.openxmlformats.org/officeDocument/2006/docPropsVTypes"/>
</file>