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ROUSSELET-PIMONT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anne-rousselet-pimont</w:t>
        </w:r>
      </w:hyperlink>
    </w:p>
    <w:p>
      <w:pPr>
        <w:numPr>
          <w:ilvl w:val="0"/>
          <w:numId w:val="1"/>
        </w:numPr>
      </w:pPr>
      <w:r>
        <w:rPr/>
        <w:t xml:space="preserve"> ORCID : </w:t>
      </w:r>
      <w:hyperlink r:id="rId8" w:history="1">
        <w:r>
          <w:rPr>
            <w:color w:val="#410a8c"/>
            <w:u w:val="single"/>
          </w:rPr>
          <w:t xml:space="preserve">0000-0001-8061-8588</w:t>
        </w:r>
      </w:hyperlink>
    </w:p>
    <w:p>
      <w:pPr>
        <w:numPr>
          <w:ilvl w:val="0"/>
          <w:numId w:val="1"/>
        </w:numPr>
      </w:pPr>
      <w:r>
        <w:rPr/>
        <w:t xml:space="preserve"> IdRef : </w:t>
      </w:r>
      <w:hyperlink r:id="rId9" w:history="1">
        <w:r>
          <w:rPr>
            <w:color w:val="#410a8c"/>
            <w:u w:val="single"/>
          </w:rPr>
          <w:t xml:space="preserve">035272805</w:t>
        </w:r>
      </w:hyperlink>
    </w:p>
    <w:p>
      <w:pPr>
        <w:numPr>
          <w:ilvl w:val="0"/>
          <w:numId w:val="1"/>
        </w:numPr>
      </w:pPr>
      <w:r>
        <w:rPr/>
        <w:t xml:space="preserve"> VIAF : </w:t>
      </w:r>
      <w:hyperlink r:id="rId10" w:history="1">
        <w:r>
          <w:rPr>
            <w:color w:val="#410a8c"/>
            <w:u w:val="single"/>
          </w:rPr>
          <w:t xml:space="preserve">51830547</w:t>
        </w:r>
      </w:hyperlink>
    </w:p>
    <w:p>
      <w:pPr>
        <w:spacing w:before="600"/>
      </w:pPr>
    </w:p>
    <w:p>
      <w:pPr>
        <w:pStyle w:val="Heading2"/>
      </w:pPr>
      <w:r>
        <w:rPr>
          <w:color w:val="1e198e"/>
          <w:b w:val="1"/>
          <w:bCs w:val="1"/>
        </w:rPr>
        <w:t xml:space="preserve">Présentation</w:t>
      </w:r>
    </w:p>
    <w:p>
      <w:pPr>
        <w:spacing w:after="100"/>
      </w:pPr>
    </w:p>
    <w:p>
      <w:pPr/>
      <w:r>
        <w:rPr/>
        <w:t xml:space="preserve">Professeur d'histoire du droit à l'université Paris 1 Panthéon-Sorbonne</w:t>
      </w:r>
    </w:p>
    <w:p>
      <w:pPr/>
      <w:r>
        <w:rPr/>
        <w:t xml:space="preserve">Membre de l'Institut de Recherche Juridique de la Sorbonne (IRJS)</w:t>
      </w:r>
    </w:p>
    <w:p>
      <w:pPr/>
      <w:r>
        <w:rPr/>
        <w:t xml:space="preserve">Principaux thèmes de recherche</w:t>
      </w:r>
    </w:p>
    <w:p>
      <w:pPr>
        <w:numPr>
          <w:ilvl w:val="0"/>
          <w:numId w:val="2"/>
        </w:numPr>
      </w:pPr>
      <w:r>
        <w:rPr/>
        <w:t xml:space="preserve">Histoire des sources du droit (législation, jurisprudence, hiérarchie des normes, droit comparé)</w:t>
      </w:r>
    </w:p>
    <w:p>
      <w:pPr>
        <w:numPr>
          <w:ilvl w:val="0"/>
          <w:numId w:val="2"/>
        </w:numPr>
      </w:pPr>
      <w:r>
        <w:rPr/>
        <w:t xml:space="preserve">Histoire des institutions publiques</w:t>
      </w:r>
    </w:p>
    <w:p>
      <w:pPr>
        <w:numPr>
          <w:ilvl w:val="0"/>
          <w:numId w:val="2"/>
        </w:numPr>
      </w:pPr>
      <w:r>
        <w:rPr/>
        <w:t xml:space="preserve">Histoire de la justice</w:t>
      </w:r>
    </w:p>
    <w:p>
      <w:pPr>
        <w:numPr>
          <w:ilvl w:val="0"/>
          <w:numId w:val="2"/>
        </w:numPr>
      </w:pPr>
      <w:r>
        <w:rPr/>
        <w:t xml:space="preserve">Histoire de la pensée juridique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L'attractivité par le droit : où sont les universités ?</w:t>
              </w:r>
            </w:hyperlink>
          </w:p>
          <w:p>
            <w:pPr/>
            <w:hyperlink r:id="rId12" w:history="1">
              <w:r>
                <w:rPr>
                  <w:color w:val="#410a8c"/>
                  <w:u w:val="single"/>
                </w:rPr>
                <w:t xml:space="preserve">Anne Rousselet-Pimont</w:t>
              </w:r>
            </w:hyperlink>
            <w:r>
              <w:rPr/>
              <w:t xml:space="preserve">,</w:t>
            </w:r>
            <w:hyperlink r:id="rId13" w:history="1">
              <w:r>
                <w:rPr>
                  <w:color w:val="#410a8c"/>
                  <w:u w:val="single"/>
                </w:rPr>
                <w:t xml:space="preserve">Etienne Pataut</w:t>
              </w:r>
            </w:hyperlink>
          </w:p>
          <w:p>
            <w:pPr/>
            <w:r>
              <w:rPr>
                <w:i w:val="1"/>
                <w:iCs w:val="1"/>
              </w:rPr>
              <w:t xml:space="preserve">Recueil Dalloz</w:t>
            </w:r>
            <w:r>
              <w:rPr/>
              <w:t xml:space="preserve">, 2025, 43, pp.2081</w:t>
            </w:r>
          </w:p>
          <w:p>
            <w:pPr/>
            <w:r>
              <w:rPr/>
              <w:t xml:space="preserve">Article dans une revue</w:t>
            </w:r>
          </w:p>
          <w:p>
            <w:pPr/>
            <w:hyperlink r:id="rId11" w:history="1">
              <w:r>
                <w:rPr>
                  <w:color w:val="#410a8c"/>
                  <w:u w:val="single"/>
                </w:rPr>
                <w:t xml:space="preserve">halshs-05432989v1</w:t>
              </w:r>
            </w:hyperlink>
          </w:p>
        </w:tc>
      </w:tr>
      <w:tr>
        <w:trPr/>
        <w:tc>
          <w:tcPr>
            <w:noWrap/>
          </w:tcPr>
          <w:p>
            <w:pPr>
              <w:spacing w:after="200"/>
            </w:pPr>
            <w:hyperlink r:id="rId14" w:history="1">
              <w:r>
                <w:rPr>
                  <w:color w:val="1e198e"/>
                  <w:b w:val="1"/>
                  <w:bCs w:val="1"/>
                  <w:u w:val="single"/>
                </w:rPr>
                <w:t xml:space="preserve">Bref regard historiographique sur l’impossible réforme de l’enseignement du droit dans la France de l’Ancien Régime (XVIe-XVIIIe siècle)</w:t>
              </w:r>
            </w:hyperlink>
          </w:p>
          <w:p>
            <w:pPr/>
            <w:hyperlink r:id="rId12" w:history="1">
              <w:r>
                <w:rPr>
                  <w:color w:val="#410a8c"/>
                  <w:u w:val="single"/>
                </w:rPr>
                <w:t xml:space="preserve">Anne Rousselet-Pimont</w:t>
              </w:r>
            </w:hyperlink>
          </w:p>
          <w:p>
            <w:pPr/>
            <w:r>
              <w:rPr>
                <w:i w:val="1"/>
                <w:iCs w:val="1"/>
              </w:rPr>
              <w:t xml:space="preserve">Iura Vasconiae : revista de derecho histórico y autonómico de Vasconia = euskal herriko zuzenbide historiko eta autonomikorako aldizkaria</w:t>
            </w:r>
            <w:r>
              <w:rPr/>
              <w:t xml:space="preserve">, 2024, 20, pp.25-51. </w:t>
            </w:r>
            <w:hyperlink r:id="rId15" w:history="1">
              <w:r>
                <w:rPr>
                  <w:color w:val="#410a8c"/>
                  <w:u w:val="single"/>
                </w:rPr>
                <w:t xml:space="preserve">⟨10.1387/iura.vasconiae.26273⟩</w:t>
              </w:r>
            </w:hyperlink>
          </w:p>
          <w:p>
            <w:pPr/>
            <w:r>
              <w:rPr/>
              <w:t xml:space="preserve">Article dans une revue</w:t>
            </w:r>
          </w:p>
          <w:p>
            <w:pPr/>
            <w:hyperlink r:id="rId14" w:history="1">
              <w:r>
                <w:rPr>
                  <w:color w:val="#410a8c"/>
                  <w:u w:val="single"/>
                </w:rPr>
                <w:t xml:space="preserve">hal-04604832v1</w:t>
              </w:r>
            </w:hyperlink>
          </w:p>
        </w:tc>
      </w:tr>
      <w:tr>
        <w:trPr/>
        <w:tc>
          <w:tcPr>
            <w:noWrap/>
          </w:tcPr>
          <w:p>
            <w:pPr>
              <w:spacing w:after="200"/>
            </w:pPr>
            <w:hyperlink r:id="rId16" w:history="1">
              <w:r>
                <w:rPr>
                  <w:color w:val="1e198e"/>
                  <w:b w:val="1"/>
                  <w:bCs w:val="1"/>
                  <w:u w:val="single"/>
                </w:rPr>
                <w:t xml:space="preserve">La justice est une chose bonne, mais les hommes qui la gouvernent sont plus meschans que les diables.” La justice aux temps des guerres de Religion d’après les Mémoires de Claude Haton.</w:t>
              </w:r>
            </w:hyperlink>
          </w:p>
          <w:p>
            <w:pPr/>
            <w:hyperlink r:id="rId12" w:history="1">
              <w:r>
                <w:rPr>
                  <w:color w:val="#410a8c"/>
                  <w:u w:val="single"/>
                </w:rPr>
                <w:t xml:space="preserve">Anne Rousselet-Pimont</w:t>
              </w:r>
            </w:hyperlink>
          </w:p>
          <w:p>
            <w:pPr/>
            <w:r>
              <w:rPr>
                <w:i w:val="1"/>
                <w:iCs w:val="1"/>
              </w:rPr>
              <w:t xml:space="preserve">Revue historique de droit français et étranger</w:t>
            </w:r>
            <w:r>
              <w:rPr/>
              <w:t xml:space="preserve">, 2020, 1, pp.15-53</w:t>
            </w:r>
          </w:p>
          <w:p>
            <w:pPr/>
            <w:r>
              <w:rPr/>
              <w:t xml:space="preserve">Article dans une revue</w:t>
            </w:r>
          </w:p>
          <w:p>
            <w:pPr/>
            <w:hyperlink r:id="rId16" w:history="1">
              <w:r>
                <w:rPr>
                  <w:color w:val="#410a8c"/>
                  <w:u w:val="single"/>
                </w:rPr>
                <w:t xml:space="preserve">hal-03241314v1</w:t>
              </w:r>
            </w:hyperlink>
          </w:p>
        </w:tc>
      </w:tr>
      <w:tr>
        <w:trPr/>
        <w:tc>
          <w:tcPr>
            <w:noWrap/>
          </w:tcPr>
          <w:p>
            <w:pPr>
              <w:spacing w:after="200"/>
            </w:pPr>
            <w:hyperlink r:id="rId17" w:history="1">
              <w:r>
                <w:rPr>
                  <w:color w:val="1e198e"/>
                  <w:b w:val="1"/>
                  <w:bCs w:val="1"/>
                  <w:u w:val="single"/>
                </w:rPr>
                <w:t xml:space="preserve">Droit comparé en terres d'Anjou d'après les commentaires coutumiers de René Choppin</w:t>
              </w:r>
            </w:hyperlink>
          </w:p>
          <w:p>
            <w:pPr/>
            <w:hyperlink r:id="rId12" w:history="1">
              <w:r>
                <w:rPr>
                  <w:color w:val="#410a8c"/>
                  <w:u w:val="single"/>
                </w:rPr>
                <w:t xml:space="preserve">Anne Rousselet-Pimont</w:t>
              </w:r>
            </w:hyperlink>
          </w:p>
          <w:p>
            <w:pPr/>
            <w:r>
              <w:rPr>
                <w:i w:val="1"/>
                <w:iCs w:val="1"/>
              </w:rPr>
              <w:t xml:space="preserve">Revue d'histoire des facultés de droit et de la culture juridique, du monde des juristes et du livre juridique</w:t>
            </w:r>
            <w:r>
              <w:rPr/>
              <w:t xml:space="preserve">, 2019, Liber amicorum. Mélanges en hommage au professeur Jean-Louis Thireau, n° Hors série, p. 397-423</w:t>
            </w:r>
          </w:p>
          <w:p>
            <w:pPr/>
            <w:r>
              <w:rPr/>
              <w:t xml:space="preserve">Article dans une revue</w:t>
            </w:r>
          </w:p>
          <w:p>
            <w:pPr/>
            <w:hyperlink r:id="rId17" w:history="1">
              <w:r>
                <w:rPr>
                  <w:color w:val="#410a8c"/>
                  <w:u w:val="single"/>
                </w:rPr>
                <w:t xml:space="preserve">hal-03889888v1</w:t>
              </w:r>
            </w:hyperlink>
          </w:p>
        </w:tc>
      </w:tr>
      <w:tr>
        <w:trPr/>
        <w:tc>
          <w:tcPr>
            <w:noWrap/>
          </w:tcPr>
          <w:p>
            <w:pPr>
              <w:spacing w:after="200"/>
            </w:pPr>
            <w:hyperlink r:id="rId18" w:history="1">
              <w:r>
                <w:rPr>
                  <w:color w:val="1e198e"/>
                  <w:b w:val="1"/>
                  <w:bCs w:val="1"/>
                  <w:u w:val="single"/>
                </w:rPr>
                <w:t xml:space="preserve">LA LIBÉRALITÉ SELON LE DROIT : ÉTUDE DES PRINCIPES ET DE LA CASUISTIQUE JUDICIAIRE AU XVI E SIECLE</w:t>
              </w:r>
            </w:hyperlink>
          </w:p>
          <w:p>
            <w:pPr/>
            <w:hyperlink r:id="rId12" w:history="1">
              <w:r>
                <w:rPr>
                  <w:color w:val="#410a8c"/>
                  <w:u w:val="single"/>
                </w:rPr>
                <w:t xml:space="preserve">Anne Rousselet-Pimont</w:t>
              </w:r>
            </w:hyperlink>
          </w:p>
          <w:p>
            <w:pPr/>
            <w:r>
              <w:rPr>
                <w:i w:val="1"/>
                <w:iCs w:val="1"/>
              </w:rPr>
              <w:t xml:space="preserve">Le Verger</w:t>
            </w:r>
            <w:r>
              <w:rPr/>
              <w:t xml:space="preserve">, 2012, La Libéralité au XVIe siècle</w:t>
            </w:r>
          </w:p>
          <w:p>
            <w:pPr/>
            <w:r>
              <w:rPr/>
              <w:t xml:space="preserve">Article dans une revue</w:t>
            </w:r>
          </w:p>
          <w:p>
            <w:pPr/>
            <w:hyperlink r:id="rId18" w:history="1">
              <w:r>
                <w:rPr>
                  <w:color w:val="#410a8c"/>
                  <w:u w:val="single"/>
                </w:rPr>
                <w:t xml:space="preserve">hal-03296327v1</w:t>
              </w:r>
            </w:hyperlink>
          </w:p>
        </w:tc>
      </w:tr>
      <w:tr>
        <w:trPr/>
        <w:tc>
          <w:tcPr>
            <w:noWrap/>
          </w:tcPr>
          <w:p>
            <w:pPr>
              <w:spacing w:after="200"/>
            </w:pPr>
            <w:hyperlink r:id="rId19" w:history="1">
              <w:r>
                <w:rPr>
                  <w:color w:val="1e198e"/>
                  <w:b w:val="1"/>
                  <w:bCs w:val="1"/>
                  <w:u w:val="single"/>
                </w:rPr>
                <w:t xml:space="preserve">Désamorcer le conflit. La portée du discours législatif au XVIe siècle</w:t>
              </w:r>
            </w:hyperlink>
          </w:p>
          <w:p>
            <w:pPr/>
            <w:hyperlink r:id="rId12" w:history="1">
              <w:r>
                <w:rPr>
                  <w:color w:val="#410a8c"/>
                  <w:u w:val="single"/>
                </w:rPr>
                <w:t xml:space="preserve">Anne Rousselet-Pimont</w:t>
              </w:r>
            </w:hyperlink>
          </w:p>
          <w:p>
            <w:pPr/>
            <w:r>
              <w:rPr>
                <w:i w:val="1"/>
                <w:iCs w:val="1"/>
              </w:rPr>
              <w:t xml:space="preserve">C@hiers du CRHiDI. Histoire, droit, institutions, société</w:t>
            </w:r>
            <w:r>
              <w:rPr/>
              <w:t xml:space="preserve">, 2009, 31, pp.9-28</w:t>
            </w:r>
          </w:p>
          <w:p>
            <w:pPr/>
            <w:r>
              <w:rPr/>
              <w:t xml:space="preserve">Article dans une revue</w:t>
            </w:r>
          </w:p>
          <w:p>
            <w:pPr/>
            <w:hyperlink r:id="rId19" w:history="1">
              <w:r>
                <w:rPr>
                  <w:color w:val="#410a8c"/>
                  <w:u w:val="single"/>
                </w:rPr>
                <w:t xml:space="preserve">hal-03241357v1</w:t>
              </w:r>
            </w:hyperlink>
          </w:p>
        </w:tc>
      </w:tr>
      <w:tr>
        <w:trPr/>
        <w:tc>
          <w:tcPr>
            <w:noWrap/>
          </w:tcPr>
          <w:p>
            <w:pPr>
              <w:spacing w:after="200"/>
            </w:pPr>
            <w:hyperlink r:id="rId20" w:history="1">
              <w:r>
                <w:rPr>
                  <w:color w:val="1e198e"/>
                  <w:b w:val="1"/>
                  <w:bCs w:val="1"/>
                  <w:u w:val="single"/>
                </w:rPr>
                <w:t xml:space="preserve">Chronique d’histoire du droit français et étranger. La première modernité : XVIe - première moitié du XVIIe siècle.</w:t>
              </w:r>
            </w:hyperlink>
          </w:p>
          <w:p>
            <w:pPr/>
            <w:hyperlink r:id="rId12" w:history="1">
              <w:r>
                <w:rPr>
                  <w:color w:val="#410a8c"/>
                  <w:u w:val="single"/>
                </w:rPr>
                <w:t xml:space="preserve">Anne Rousselet-Pimont</w:t>
              </w:r>
            </w:hyperlink>
          </w:p>
          <w:p>
            <w:pPr/>
            <w:r>
              <w:rPr>
                <w:i w:val="1"/>
                <w:iCs w:val="1"/>
              </w:rPr>
              <w:t xml:space="preserve">Revue historique de droit français et étranger</w:t>
            </w:r>
            <w:r>
              <w:rPr/>
              <w:t xml:space="preserve">, 2007, 1, pp.133-180</w:t>
            </w:r>
          </w:p>
          <w:p>
            <w:pPr/>
            <w:r>
              <w:rPr/>
              <w:t xml:space="preserve">Article dans une revue</w:t>
            </w:r>
          </w:p>
          <w:p>
            <w:pPr/>
            <w:hyperlink r:id="rId20" w:history="1">
              <w:r>
                <w:rPr>
                  <w:color w:val="#410a8c"/>
                  <w:u w:val="single"/>
                </w:rPr>
                <w:t xml:space="preserve">hal-03241287v1</w:t>
              </w:r>
            </w:hyperlink>
          </w:p>
        </w:tc>
      </w:tr>
      <w:tr>
        <w:trPr/>
        <w:tc>
          <w:tcPr>
            <w:noWrap/>
          </w:tcPr>
          <w:p>
            <w:pPr>
              <w:spacing w:after="200"/>
            </w:pPr>
            <w:hyperlink r:id="rId21" w:history="1">
              <w:r>
                <w:rPr>
                  <w:color w:val="1e198e"/>
                  <w:b w:val="1"/>
                  <w:bCs w:val="1"/>
                  <w:u w:val="single"/>
                </w:rPr>
                <w:t xml:space="preserve">Une générosité suspecte : les libéralités aux proches parents des conjoints d’après la jurisprudence du parlement de Paris aux XVIe-XVIIe siècles</w:t>
              </w:r>
            </w:hyperlink>
          </w:p>
          <w:p>
            <w:pPr/>
            <w:hyperlink r:id="rId12" w:history="1">
              <w:r>
                <w:rPr>
                  <w:color w:val="#410a8c"/>
                  <w:u w:val="single"/>
                </w:rPr>
                <w:t xml:space="preserve">Anne Rousselet-Pimont</w:t>
              </w:r>
            </w:hyperlink>
          </w:p>
          <w:p>
            <w:pPr/>
            <w:r>
              <w:rPr>
                <w:i w:val="1"/>
                <w:iCs w:val="1"/>
              </w:rPr>
              <w:t xml:space="preserve">Revue historique de droit français et étranger</w:t>
            </w:r>
            <w:r>
              <w:rPr/>
              <w:t xml:space="preserve">, 2005, 2, pp.183-213</w:t>
            </w:r>
          </w:p>
          <w:p>
            <w:pPr/>
            <w:r>
              <w:rPr/>
              <w:t xml:space="preserve">Article dans une revue</w:t>
            </w:r>
          </w:p>
          <w:p>
            <w:pPr/>
            <w:hyperlink r:id="rId21" w:history="1">
              <w:r>
                <w:rPr>
                  <w:color w:val="#410a8c"/>
                  <w:u w:val="single"/>
                </w:rPr>
                <w:t xml:space="preserve">hal-03241320v1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 gouvernement des communautés politiques à la fin du Moyen Âge. Entre puissance et négociation : Villes, finances, État - Actes du colloque en l'honneur d'Albert Rigaudière</w:t>
              </w:r>
            </w:hyperlink>
          </w:p>
          <w:p>
            <w:pPr/>
            <w:hyperlink r:id="rId23" w:history="1">
              <w:r>
                <w:rPr>
                  <w:color w:val="#410a8c"/>
                  <w:u w:val="single"/>
                </w:rPr>
                <w:t xml:space="preserve">Corinne Leveleux-Teixeira</w:t>
              </w:r>
            </w:hyperlink>
            <w:r>
              <w:rPr/>
              <w:t xml:space="preserve">,</w:t>
            </w:r>
            <w:hyperlink r:id="rId12" w:history="1">
              <w:r>
                <w:rPr>
                  <w:color w:val="#410a8c"/>
                  <w:u w:val="single"/>
                </w:rPr>
                <w:t xml:space="preserve">Anne Rousselet-Pimont</w:t>
              </w:r>
            </w:hyperlink>
            <w:r>
              <w:rPr/>
              <w:t xml:space="preserve">,</w:t>
            </w:r>
            <w:hyperlink r:id="rId24" w:history="1">
              <w:r>
                <w:rPr>
                  <w:color w:val="#410a8c"/>
                  <w:u w:val="single"/>
                </w:rPr>
                <w:t xml:space="preserve">Pierre Bonin</w:t>
              </w:r>
            </w:hyperlink>
            <w:r>
              <w:rPr/>
              <w:t xml:space="preserve">,</w:t>
            </w:r>
            <w:hyperlink r:id="rId25" w:history="1">
              <w:r>
                <w:rPr>
                  <w:color w:val="#410a8c"/>
                  <w:u w:val="single"/>
                </w:rPr>
                <w:t xml:space="preserve">Florent Garnier</w:t>
              </w:r>
            </w:hyperlink>
            <w:r>
              <w:rPr/>
              <w:t xml:space="preserve">,</w:t>
            </w:r>
            <w:hyperlink r:id="rId26" w:history="1">
              <w:r>
                <w:rPr>
                  <w:color w:val="#410a8c"/>
                  <w:u w:val="single"/>
                </w:rPr>
                <w:t xml:space="preserve">Jacques Le Goff</w:t>
              </w:r>
            </w:hyperlink>
          </w:p>
          <w:p>
            <w:pPr/>
            <w:r>
              <w:rPr/>
              <w:t xml:space="preserve">Éditions Panthéon-Assas. , 580 p., 2011, coll. "Colloques", 978-2-9133-9795-8</w:t>
            </w:r>
          </w:p>
          <w:p>
            <w:pPr/>
            <w:r>
              <w:rPr/>
              <w:t xml:space="preserve">Ouvrages</w:t>
            </w:r>
          </w:p>
          <w:p>
            <w:pPr/>
            <w:hyperlink r:id="rId22" w:history="1">
              <w:r>
                <w:rPr>
                  <w:color w:val="#410a8c"/>
                  <w:u w:val="single"/>
                </w:rPr>
                <w:t xml:space="preserve">halshs-01557958v1</w:t>
              </w:r>
            </w:hyperlink>
          </w:p>
        </w:tc>
      </w:tr>
      <w:tr>
        <w:trPr/>
        <w:tc>
          <w:tcPr>
            <w:noWrap/>
          </w:tcPr>
          <w:p>
            <w:pPr>
              <w:spacing w:after="200"/>
            </w:pPr>
            <w:hyperlink r:id="rId27" w:history="1">
              <w:r>
                <w:rPr>
                  <w:color w:val="1e198e"/>
                  <w:b w:val="1"/>
                  <w:bCs w:val="1"/>
                  <w:u w:val="single"/>
                </w:rPr>
                <w:t xml:space="preserve">Le chancelier et la loi au XVIe siècle d'après l'oeuvre d'Antoine Duprat, de Guillaume Poyet et de Michel de L'Hospital</w:t>
              </w:r>
            </w:hyperlink>
          </w:p>
          <w:p>
            <w:pPr/>
            <w:hyperlink r:id="rId12" w:history="1">
              <w:r>
                <w:rPr>
                  <w:color w:val="#410a8c"/>
                  <w:u w:val="single"/>
                </w:rPr>
                <w:t xml:space="preserve">Anne Rousselet-Pimont</w:t>
              </w:r>
            </w:hyperlink>
          </w:p>
          <w:p>
            <w:pPr/>
            <w:r>
              <w:rPr/>
              <w:t xml:space="preserve">De Boccard, 636 p., 2005, 2-7018-0182-6</w:t>
            </w:r>
          </w:p>
          <w:p>
            <w:pPr/>
            <w:r>
              <w:rPr/>
              <w:t xml:space="preserve">Ouvrages</w:t>
            </w:r>
          </w:p>
          <w:p>
            <w:pPr/>
            <w:hyperlink r:id="rId27" w:history="1">
              <w:r>
                <w:rPr>
                  <w:color w:val="#410a8c"/>
                  <w:u w:val="single"/>
                </w:rPr>
                <w:t xml:space="preserve">hal-03889003v1</w:t>
              </w:r>
            </w:hyperlink>
          </w:p>
        </w:tc>
      </w:tr>
      <w:tr>
        <w:trPr/>
        <w:tc>
          <w:tcPr>
            <w:noWrap/>
          </w:tcPr>
          <w:p>
            <w:pPr>
              <w:spacing w:after="200"/>
            </w:pPr>
            <w:hyperlink r:id="rId28" w:history="1">
              <w:r>
                <w:rPr>
                  <w:color w:val="1e198e"/>
                  <w:b w:val="1"/>
                  <w:bCs w:val="1"/>
                  <w:u w:val="single"/>
                </w:rPr>
                <w:t xml:space="preserve">La Règle de l’inaliénabilité du domaine de la couronne.</w:t>
              </w:r>
            </w:hyperlink>
          </w:p>
          <w:p>
            <w:pPr/>
            <w:hyperlink r:id="rId12" w:history="1">
              <w:r>
                <w:rPr>
                  <w:color w:val="#410a8c"/>
                  <w:u w:val="single"/>
                </w:rPr>
                <w:t xml:space="preserve">Anne Rousselet-Pimont</w:t>
              </w:r>
            </w:hyperlink>
          </w:p>
          <w:p>
            <w:pPr/>
            <w:hyperlink r:id="rId29" w:history="1">
              <w:r>
                <w:rPr>
                  <w:color w:val="#410a8c"/>
                  <w:u w:val="single"/>
                </w:rPr>
                <w:t xml:space="preserve">LGDJ</w:t>
              </w:r>
            </w:hyperlink>
            <w:r>
              <w:rPr/>
              <w:t xml:space="preserve">, 1997, Travaux et recherches Panthéon-Assas Paris II. Histoire du droit</w:t>
            </w:r>
          </w:p>
          <w:p>
            <w:pPr/>
            <w:r>
              <w:rPr/>
              <w:t xml:space="preserve">Ouvrages</w:t>
            </w:r>
          </w:p>
          <w:p>
            <w:pPr/>
            <w:hyperlink r:id="rId28" w:history="1">
              <w:r>
                <w:rPr>
                  <w:color w:val="#410a8c"/>
                  <w:u w:val="single"/>
                </w:rPr>
                <w:t xml:space="preserve">hal-03241400v1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Cujas et les arrêtistes. L'écho de l'Ecole au Palais</w:t>
              </w:r>
            </w:hyperlink>
          </w:p>
          <w:p>
            <w:pPr/>
            <w:hyperlink r:id="rId12" w:history="1">
              <w:r>
                <w:rPr>
                  <w:color w:val="#410a8c"/>
                  <w:u w:val="single"/>
                </w:rPr>
                <w:t xml:space="preserve">Anne Rousselet-Pimont</w:t>
              </w:r>
            </w:hyperlink>
          </w:p>
          <w:p>
            <w:pPr/>
            <w:r>
              <w:rPr/>
              <w:t xml:space="preserve">Dario Mantovani et Xavier Prévost. </w:t>
            </w:r>
            <w:r>
              <w:rPr>
                <w:i w:val="1"/>
                <w:iCs w:val="1"/>
              </w:rPr>
              <w:t xml:space="preserve">Jacques Cujas 1522-1590. La Fabrique d’un “grand juriste”</w:t>
            </w:r>
            <w:r>
              <w:rPr/>
              <w:t xml:space="preserve">, Éditions du Collège de France, Collection « Conférences », p. 177-196, 2024</w:t>
            </w:r>
          </w:p>
          <w:p>
            <w:pPr/>
            <w:r>
              <w:rPr/>
              <w:t xml:space="preserve">Chapitre d'ouvrage</w:t>
            </w:r>
          </w:p>
          <w:p>
            <w:pPr/>
            <w:hyperlink r:id="rId30" w:history="1">
              <w:r>
                <w:rPr>
                  <w:color w:val="#410a8c"/>
                  <w:u w:val="single"/>
                </w:rPr>
                <w:t xml:space="preserve">hal-05439708v1</w:t>
              </w:r>
            </w:hyperlink>
          </w:p>
        </w:tc>
      </w:tr>
      <w:tr>
        <w:trPr/>
        <w:tc>
          <w:tcPr>
            <w:noWrap/>
          </w:tcPr>
          <w:p>
            <w:pPr>
              <w:spacing w:after="200"/>
            </w:pPr>
            <w:hyperlink r:id="rId31" w:history="1">
              <w:r>
                <w:rPr>
                  <w:color w:val="1e198e"/>
                  <w:b w:val="1"/>
                  <w:bCs w:val="1"/>
                  <w:u w:val="single"/>
                </w:rPr>
                <w:t xml:space="preserve">Les gens du parlement sont-ils des parlementaires ?</w:t>
              </w:r>
            </w:hyperlink>
          </w:p>
          <w:p>
            <w:pPr/>
            <w:hyperlink r:id="rId12" w:history="1">
              <w:r>
                <w:rPr>
                  <w:color w:val="#410a8c"/>
                  <w:u w:val="single"/>
                </w:rPr>
                <w:t xml:space="preserve">Anne Rousselet-Pimont</w:t>
              </w:r>
            </w:hyperlink>
          </w:p>
          <w:p>
            <w:pPr/>
            <w:r>
              <w:rPr/>
              <w:t xml:space="preserve">Nicolas Laurent-Bonne et Xavier Prévost. </w:t>
            </w:r>
            <w:r>
              <w:rPr>
                <w:i w:val="1"/>
                <w:iCs w:val="1"/>
              </w:rPr>
              <w:t xml:space="preserve">Penser l'ancien droit public. Regards croisés sur les méthodes des juristes (III)</w:t>
            </w:r>
            <w:r>
              <w:rPr/>
              <w:t xml:space="preserve">, LGDJ, p. 151-180, 2022</w:t>
            </w:r>
          </w:p>
          <w:p>
            <w:pPr/>
            <w:r>
              <w:rPr/>
              <w:t xml:space="preserve">Chapitre d'ouvrage</w:t>
            </w:r>
          </w:p>
          <w:p>
            <w:pPr/>
            <w:hyperlink r:id="rId31" w:history="1">
              <w:r>
                <w:rPr>
                  <w:color w:val="#410a8c"/>
                  <w:u w:val="single"/>
                </w:rPr>
                <w:t xml:space="preserve">hal-03889942v1</w:t>
              </w:r>
            </w:hyperlink>
          </w:p>
        </w:tc>
      </w:tr>
      <w:tr>
        <w:trPr/>
        <w:tc>
          <w:tcPr>
            <w:noWrap/>
          </w:tcPr>
          <w:p>
            <w:pPr>
              <w:spacing w:after="200"/>
            </w:pPr>
            <w:hyperlink r:id="rId32" w:history="1">
              <w:r>
                <w:rPr>
                  <w:color w:val="1e198e"/>
                  <w:b w:val="1"/>
                  <w:bCs w:val="1"/>
                  <w:u w:val="single"/>
                </w:rPr>
                <w:t xml:space="preserve">Le roi, la loi et la rente à l'Epoque moderne</w:t>
              </w:r>
            </w:hyperlink>
          </w:p>
          <w:p>
            <w:pPr/>
            <w:hyperlink r:id="rId12" w:history="1">
              <w:r>
                <w:rPr>
                  <w:color w:val="#410a8c"/>
                  <w:u w:val="single"/>
                </w:rPr>
                <w:t xml:space="preserve">Anne Rousselet-Pimont</w:t>
              </w:r>
            </w:hyperlink>
          </w:p>
          <w:p>
            <w:pPr/>
            <w:r>
              <w:rPr/>
              <w:t xml:space="preserve">Luisa Bruni, Serge Dauchy, Olivier Descamps et Xavier Prévost. </w:t>
            </w:r>
            <w:r>
              <w:rPr>
                <w:i w:val="1"/>
                <w:iCs w:val="1"/>
              </w:rPr>
              <w:t xml:space="preserve">Le droit face à l'économie sans travail. Tome I : Sources intellectuelles, acteurs, résolutions des conflits</w:t>
            </w:r>
            <w:r>
              <w:rPr/>
              <w:t xml:space="preserve">, Classique Garnier, p. 243-263, 2019</w:t>
            </w:r>
          </w:p>
          <w:p>
            <w:pPr/>
            <w:r>
              <w:rPr/>
              <w:t xml:space="preserve">Chapitre d'ouvrage</w:t>
            </w:r>
          </w:p>
          <w:p>
            <w:pPr/>
            <w:hyperlink r:id="rId32" w:history="1">
              <w:r>
                <w:rPr>
                  <w:color w:val="#410a8c"/>
                  <w:u w:val="single"/>
                </w:rPr>
                <w:t xml:space="preserve">hal-03889855v1</w:t>
              </w:r>
            </w:hyperlink>
          </w:p>
        </w:tc>
      </w:tr>
      <w:tr>
        <w:trPr/>
        <w:tc>
          <w:tcPr>
            <w:noWrap/>
          </w:tcPr>
          <w:p>
            <w:pPr>
              <w:spacing w:after="200"/>
            </w:pPr>
            <w:hyperlink r:id="rId33" w:history="1">
              <w:r>
                <w:rPr>
                  <w:color w:val="1e198e"/>
                  <w:b w:val="1"/>
                  <w:bCs w:val="1"/>
                  <w:u w:val="single"/>
                </w:rPr>
                <w:t xml:space="preserve">L'unité du droit vue par un arrêtiste toulousain, Géraud de Maynard (1537-1607)</w:t>
              </w:r>
            </w:hyperlink>
          </w:p>
          <w:p>
            <w:pPr/>
            <w:hyperlink r:id="rId12" w:history="1">
              <w:r>
                <w:rPr>
                  <w:color w:val="#410a8c"/>
                  <w:u w:val="single"/>
                </w:rPr>
                <w:t xml:space="preserve">Anne Rousselet-Pimont</w:t>
              </w:r>
            </w:hyperlink>
          </w:p>
          <w:p>
            <w:pPr/>
            <w:r>
              <w:rPr/>
              <w:t xml:space="preserve">Patrick Arabeyre et Olivier Poncet. </w:t>
            </w:r>
            <w:r>
              <w:rPr>
                <w:i w:val="1"/>
                <w:iCs w:val="1"/>
              </w:rPr>
              <w:t xml:space="preserve">La règle de l'unité ? Le juge et le droit du roi dans la France moderne (XVe-XVIIIe siècle)</w:t>
            </w:r>
            <w:r>
              <w:rPr/>
              <w:t xml:space="preserve">, Classique Garnier, p. 19-44, 2019, Collection "Histoire du droit"</w:t>
            </w:r>
          </w:p>
          <w:p>
            <w:pPr/>
            <w:r>
              <w:rPr/>
              <w:t xml:space="preserve">Chapitre d'ouvrage</w:t>
            </w:r>
          </w:p>
          <w:p>
            <w:pPr/>
            <w:hyperlink r:id="rId33" w:history="1">
              <w:r>
                <w:rPr>
                  <w:color w:val="#410a8c"/>
                  <w:u w:val="single"/>
                </w:rPr>
                <w:t xml:space="preserve">hal-03889116v1</w:t>
              </w:r>
            </w:hyperlink>
          </w:p>
        </w:tc>
      </w:tr>
      <w:tr>
        <w:trPr/>
        <w:tc>
          <w:tcPr>
            <w:noWrap/>
          </w:tcPr>
          <w:p>
            <w:pPr>
              <w:spacing w:after="200"/>
            </w:pPr>
            <w:hyperlink r:id="rId34" w:history="1">
              <w:r>
                <w:rPr>
                  <w:color w:val="1e198e"/>
                  <w:b w:val="1"/>
                  <w:bCs w:val="1"/>
                  <w:u w:val="single"/>
                </w:rPr>
                <w:t xml:space="preserve">Le dissensus et le droit. La crainte de la nouveauté législative</w:t>
              </w:r>
            </w:hyperlink>
          </w:p>
          <w:p>
            <w:pPr/>
            <w:hyperlink r:id="rId12" w:history="1">
              <w:r>
                <w:rPr>
                  <w:color w:val="#410a8c"/>
                  <w:u w:val="single"/>
                </w:rPr>
                <w:t xml:space="preserve">Anne Rousselet-Pimont</w:t>
              </w:r>
            </w:hyperlink>
          </w:p>
          <w:p>
            <w:pPr/>
            <w:r>
              <w:rPr/>
              <w:t xml:space="preserve">F. Alazard, S. Geonget, L. Gerbier et P.A. Mellet. </w:t>
            </w:r>
            <w:r>
              <w:rPr>
                <w:i w:val="1"/>
                <w:iCs w:val="1"/>
              </w:rPr>
              <w:t xml:space="preserve">Dissensus. Pratiques et représentations de la diversité des opinions, 1500-1650</w:t>
            </w:r>
            <w:r>
              <w:rPr/>
              <w:t xml:space="preserve">, Honoré Champion, p. 43-61, 2016</w:t>
            </w:r>
          </w:p>
          <w:p>
            <w:pPr/>
            <w:r>
              <w:rPr/>
              <w:t xml:space="preserve">Chapitre d'ouvrage</w:t>
            </w:r>
          </w:p>
          <w:p>
            <w:pPr/>
            <w:hyperlink r:id="rId34" w:history="1">
              <w:r>
                <w:rPr>
                  <w:color w:val="#410a8c"/>
                  <w:u w:val="single"/>
                </w:rPr>
                <w:t xml:space="preserve">hal-03889097v1</w:t>
              </w:r>
            </w:hyperlink>
          </w:p>
        </w:tc>
      </w:tr>
      <w:tr>
        <w:trPr/>
        <w:tc>
          <w:tcPr>
            <w:noWrap/>
          </w:tcPr>
          <w:p>
            <w:pPr>
              <w:spacing w:after="200"/>
            </w:pPr>
            <w:hyperlink r:id="rId35" w:history="1">
              <w:r>
                <w:rPr>
                  <w:color w:val="1e198e"/>
                  <w:b w:val="1"/>
                  <w:bCs w:val="1"/>
                  <w:u w:val="single"/>
                </w:rPr>
                <w:t xml:space="preserve">Démarche communicationnelle des producteurs de droit : constance et/ou renouvellement</w:t>
              </w:r>
            </w:hyperlink>
          </w:p>
          <w:p>
            <w:pPr/>
            <w:hyperlink r:id="rId12" w:history="1">
              <w:r>
                <w:rPr>
                  <w:color w:val="#410a8c"/>
                  <w:u w:val="single"/>
                </w:rPr>
                <w:t xml:space="preserve">Anne Rousselet-Pimont</w:t>
              </w:r>
            </w:hyperlink>
          </w:p>
          <w:p>
            <w:pPr/>
            <w:r>
              <w:rPr/>
              <w:t xml:space="preserve">Sandrine Chassagnard-Pinet et Serche Dauchy. </w:t>
            </w:r>
            <w:r>
              <w:rPr>
                <w:i w:val="1"/>
                <w:iCs w:val="1"/>
              </w:rPr>
              <w:t xml:space="preserve">Droit, justice et politiques communicationnelles. Permanence et ruptures</w:t>
            </w:r>
            <w:r>
              <w:rPr/>
              <w:t xml:space="preserve">, Mare et Martin, p. 41-70, 2015</w:t>
            </w:r>
          </w:p>
          <w:p>
            <w:pPr/>
            <w:r>
              <w:rPr/>
              <w:t xml:space="preserve">Chapitre d'ouvrage</w:t>
            </w:r>
          </w:p>
          <w:p>
            <w:pPr/>
            <w:hyperlink r:id="rId35" w:history="1">
              <w:r>
                <w:rPr>
                  <w:color w:val="#410a8c"/>
                  <w:u w:val="single"/>
                </w:rPr>
                <w:t xml:space="preserve">hal-03889090v1</w:t>
              </w:r>
            </w:hyperlink>
          </w:p>
        </w:tc>
      </w:tr>
      <w:tr>
        <w:trPr/>
        <w:tc>
          <w:tcPr>
            <w:noWrap/>
          </w:tcPr>
          <w:p>
            <w:pPr>
              <w:spacing w:after="200"/>
            </w:pPr>
            <w:hyperlink r:id="rId36" w:history="1">
              <w:r>
                <w:rPr>
                  <w:color w:val="1e198e"/>
                  <w:b w:val="1"/>
                  <w:bCs w:val="1"/>
                  <w:u w:val="single"/>
                </w:rPr>
                <w:t xml:space="preserve">Histoire des normes. L'émergence de la loi moderne</w:t>
              </w:r>
            </w:hyperlink>
          </w:p>
          <w:p>
            <w:pPr/>
            <w:hyperlink r:id="rId37" w:history="1">
              <w:r>
                <w:rPr>
                  <w:color w:val="#410a8c"/>
                  <w:u w:val="single"/>
                </w:rPr>
                <w:t xml:space="preserve">Sophie Petitrenaud</w:t>
              </w:r>
            </w:hyperlink>
            <w:r>
              <w:rPr/>
              <w:t xml:space="preserve">,</w:t>
            </w:r>
            <w:hyperlink r:id="rId12" w:history="1">
              <w:r>
                <w:rPr>
                  <w:color w:val="#410a8c"/>
                  <w:u w:val="single"/>
                </w:rPr>
                <w:t xml:space="preserve">Anne Rousselet-Pimont</w:t>
              </w:r>
            </w:hyperlink>
          </w:p>
          <w:p>
            <w:pPr/>
            <w:r>
              <w:rPr/>
              <w:t xml:space="preserve">Jacques Krynen; Bernard d'Alteroche. </w:t>
            </w:r>
            <w:r>
              <w:rPr>
                <w:i w:val="1"/>
                <w:iCs w:val="1"/>
              </w:rPr>
              <w:t xml:space="preserve">L'histoire du droit en France. Nouvelles tendances, nouveaux territoires</w:t>
            </w:r>
            <w:r>
              <w:rPr/>
              <w:t xml:space="preserve">, Classiques Garnier, pp.223-237, 2014, 978-2-8124_2963-7</w:t>
            </w:r>
          </w:p>
          <w:p>
            <w:pPr/>
            <w:r>
              <w:rPr/>
              <w:t xml:space="preserve">Chapitre d'ouvrage</w:t>
            </w:r>
          </w:p>
          <w:p>
            <w:pPr/>
            <w:hyperlink r:id="rId36" w:history="1">
              <w:r>
                <w:rPr>
                  <w:color w:val="#410a8c"/>
                  <w:u w:val="single"/>
                </w:rPr>
                <w:t xml:space="preserve">hal-04558174v1</w:t>
              </w:r>
            </w:hyperlink>
          </w:p>
        </w:tc>
      </w:tr>
      <w:tr>
        <w:trPr/>
        <w:tc>
          <w:tcPr>
            <w:noWrap/>
          </w:tcPr>
          <w:p>
            <w:pPr>
              <w:spacing w:after="200"/>
            </w:pPr>
            <w:hyperlink r:id="rId38" w:history="1">
              <w:r>
                <w:rPr>
                  <w:color w:val="1e198e"/>
                  <w:b w:val="1"/>
                  <w:bCs w:val="1"/>
                  <w:u w:val="single"/>
                </w:rPr>
                <w:t xml:space="preserve">Valeur et typologie des arrêts d'après les arrêtistes</w:t>
              </w:r>
            </w:hyperlink>
          </w:p>
          <w:p>
            <w:pPr/>
            <w:hyperlink r:id="rId12" w:history="1">
              <w:r>
                <w:rPr>
                  <w:color w:val="#410a8c"/>
                  <w:u w:val="single"/>
                </w:rPr>
                <w:t xml:space="preserve">Anne Rousselet-Pimont</w:t>
              </w:r>
            </w:hyperlink>
          </w:p>
          <w:p>
            <w:pPr/>
            <w:r>
              <w:rPr/>
              <w:t xml:space="preserve">Géraldine Cazals et Stéphan Geonget. </w:t>
            </w:r>
            <w:r>
              <w:rPr>
                <w:i w:val="1"/>
                <w:iCs w:val="1"/>
              </w:rPr>
              <w:t xml:space="preserve">Des "arrests parlans". Les arrêts notables à la Renaissance entre droit et littérature</w:t>
            </w:r>
            <w:r>
              <w:rPr/>
              <w:t xml:space="preserve">, Droz, p. 241-258, 2014</w:t>
            </w:r>
          </w:p>
          <w:p>
            <w:pPr/>
            <w:r>
              <w:rPr/>
              <w:t xml:space="preserve">Chapitre d'ouvrage</w:t>
            </w:r>
          </w:p>
          <w:p>
            <w:pPr/>
            <w:hyperlink r:id="rId38" w:history="1">
              <w:r>
                <w:rPr>
                  <w:color w:val="#410a8c"/>
                  <w:u w:val="single"/>
                </w:rPr>
                <w:t xml:space="preserve">hal-03889069v1</w:t>
              </w:r>
            </w:hyperlink>
          </w:p>
        </w:tc>
      </w:tr>
      <w:tr>
        <w:trPr/>
        <w:tc>
          <w:tcPr>
            <w:noWrap/>
          </w:tcPr>
          <w:p>
            <w:pPr>
              <w:spacing w:after="200"/>
            </w:pPr>
            <w:hyperlink r:id="rId39" w:history="1">
              <w:r>
                <w:rPr>
                  <w:color w:val="1e198e"/>
                  <w:b w:val="1"/>
                  <w:bCs w:val="1"/>
                  <w:u w:val="single"/>
                </w:rPr>
                <w:t xml:space="preserve">Le juge d'Eglise et la loi royale, entre autonomie et soumission</w:t>
              </w:r>
            </w:hyperlink>
          </w:p>
          <w:p>
            <w:pPr/>
            <w:hyperlink r:id="rId12" w:history="1">
              <w:r>
                <w:rPr>
                  <w:color w:val="#410a8c"/>
                  <w:u w:val="single"/>
                </w:rPr>
                <w:t xml:space="preserve">Anne Rousselet-Pimont</w:t>
              </w:r>
            </w:hyperlink>
          </w:p>
          <w:p>
            <w:pPr/>
            <w:r>
              <w:rPr/>
              <w:t xml:space="preserve">Patrick Arabeyre et Brigitte Basdevant-Gaudemet. </w:t>
            </w:r>
            <w:r>
              <w:rPr>
                <w:i w:val="1"/>
                <w:iCs w:val="1"/>
              </w:rPr>
              <w:t xml:space="preserve">Les clercs et les princes. Doctrines et pratiques de l'autorité ecclésiastique à l'Epoque moderne</w:t>
            </w:r>
            <w:r>
              <w:rPr/>
              <w:t xml:space="preserve">, Collection "Etudes et rencontres de l'Ecole des chartes" (41), Ecole Nationale des Chartes, p. 145-163, 2013</w:t>
            </w:r>
          </w:p>
          <w:p>
            <w:pPr/>
            <w:r>
              <w:rPr/>
              <w:t xml:space="preserve">Chapitre d'ouvrage</w:t>
            </w:r>
          </w:p>
          <w:p>
            <w:pPr/>
            <w:hyperlink r:id="rId39" w:history="1">
              <w:r>
                <w:rPr>
                  <w:color w:val="#410a8c"/>
                  <w:u w:val="single"/>
                </w:rPr>
                <w:t xml:space="preserve">hal-03889052v1</w:t>
              </w:r>
            </w:hyperlink>
          </w:p>
        </w:tc>
      </w:tr>
      <w:tr>
        <w:trPr/>
        <w:tc>
          <w:tcPr>
            <w:noWrap/>
          </w:tcPr>
          <w:p>
            <w:pPr>
              <w:spacing w:after="200"/>
            </w:pPr>
            <w:hyperlink r:id="rId40" w:history="1">
              <w:r>
                <w:rPr>
                  <w:color w:val="1e198e"/>
                  <w:b w:val="1"/>
                  <w:bCs w:val="1"/>
                  <w:u w:val="single"/>
                </w:rPr>
                <w:t xml:space="preserve">L'Ecole de droit avant l'Ecole de droit</w:t>
              </w:r>
            </w:hyperlink>
          </w:p>
          <w:p>
            <w:pPr/>
            <w:hyperlink r:id="rId12" w:history="1">
              <w:r>
                <w:rPr>
                  <w:color w:val="#410a8c"/>
                  <w:u w:val="single"/>
                </w:rPr>
                <w:t xml:space="preserve">Anne Rousselet-Pimont</w:t>
              </w:r>
            </w:hyperlink>
          </w:p>
          <w:p>
            <w:pPr/>
            <w:r>
              <w:rPr/>
              <w:t xml:space="preserve">Pascale Gonod, Anne Rousselet-Pimont et Loïc Cadiet. </w:t>
            </w:r>
            <w:r>
              <w:rPr>
                <w:i w:val="1"/>
                <w:iCs w:val="1"/>
              </w:rPr>
              <w:t xml:space="preserve">L'Ecole de droit de la Sorbonne dans la Cité</w:t>
            </w:r>
            <w:r>
              <w:rPr/>
              <w:t xml:space="preserve">, IRJS Editions, p. 30-44, 2012</w:t>
            </w:r>
          </w:p>
          <w:p>
            <w:pPr/>
            <w:r>
              <w:rPr/>
              <w:t xml:space="preserve">Chapitre d'ouvrage</w:t>
            </w:r>
          </w:p>
          <w:p>
            <w:pPr/>
            <w:hyperlink r:id="rId40" w:history="1">
              <w:r>
                <w:rPr>
                  <w:color w:val="#410a8c"/>
                  <w:u w:val="single"/>
                </w:rPr>
                <w:t xml:space="preserve">hal-03889063v1</w:t>
              </w:r>
            </w:hyperlink>
          </w:p>
        </w:tc>
      </w:tr>
      <w:tr>
        <w:trPr/>
        <w:tc>
          <w:tcPr>
            <w:noWrap/>
          </w:tcPr>
          <w:p>
            <w:pPr>
              <w:spacing w:after="200"/>
            </w:pPr>
            <w:hyperlink r:id="rId41" w:history="1">
              <w:r>
                <w:rPr>
                  <w:color w:val="1e198e"/>
                  <w:b w:val="1"/>
                  <w:bCs w:val="1"/>
                  <w:u w:val="single"/>
                </w:rPr>
                <w:t xml:space="preserve">Relayer les lois du roi à l'Epoque moderne. Si veut le roi, si veut la loi</w:t>
              </w:r>
            </w:hyperlink>
          </w:p>
          <w:p>
            <w:pPr/>
            <w:hyperlink r:id="rId12" w:history="1">
              <w:r>
                <w:rPr>
                  <w:color w:val="#410a8c"/>
                  <w:u w:val="single"/>
                </w:rPr>
                <w:t xml:space="preserve">Anne Rousselet-Pimont</w:t>
              </w:r>
            </w:hyperlink>
          </w:p>
          <w:p>
            <w:pPr/>
            <w:r>
              <w:rPr>
                <w:i w:val="1"/>
                <w:iCs w:val="1"/>
              </w:rPr>
              <w:t xml:space="preserve">L'écho des lois. Du parchemin à internet</w:t>
            </w:r>
            <w:r>
              <w:rPr/>
              <w:t xml:space="preserve">, La documentation française, p. 55-79, 2012</w:t>
            </w:r>
          </w:p>
          <w:p>
            <w:pPr/>
            <w:r>
              <w:rPr/>
              <w:t xml:space="preserve">Chapitre d'ouvrage</w:t>
            </w:r>
          </w:p>
          <w:p>
            <w:pPr/>
            <w:hyperlink r:id="rId41" w:history="1">
              <w:r>
                <w:rPr>
                  <w:color w:val="#410a8c"/>
                  <w:u w:val="single"/>
                </w:rPr>
                <w:t xml:space="preserve">hal-03889058v1</w:t>
              </w:r>
            </w:hyperlink>
          </w:p>
        </w:tc>
      </w:tr>
      <w:tr>
        <w:trPr/>
        <w:tc>
          <w:tcPr>
            <w:noWrap/>
          </w:tcPr>
          <w:p>
            <w:pPr>
              <w:spacing w:after="200"/>
            </w:pPr>
            <w:hyperlink r:id="rId42" w:history="1">
              <w:r>
                <w:rPr>
                  <w:color w:val="1e198e"/>
                  <w:b w:val="1"/>
                  <w:bCs w:val="1"/>
                  <w:u w:val="single"/>
                </w:rPr>
                <w:t xml:space="preserve">Normes et ordres juridiques dans les Décisions notables de Gilles Le Maiste</w:t>
              </w:r>
            </w:hyperlink>
          </w:p>
          <w:p>
            <w:pPr/>
            <w:hyperlink r:id="rId12" w:history="1">
              <w:r>
                <w:rPr>
                  <w:color w:val="#410a8c"/>
                  <w:u w:val="single"/>
                </w:rPr>
                <w:t xml:space="preserve">Anne Rousselet-Pimont</w:t>
              </w:r>
            </w:hyperlink>
          </w:p>
          <w:p>
            <w:pPr/>
            <w:r>
              <w:rPr/>
              <w:t xml:space="preserve">Corinne Leveleux-Teixeira, Anne Rousselet-Pimont, Pierre Bonin et Florent Garnier. </w:t>
            </w:r>
            <w:r>
              <w:rPr>
                <w:i w:val="1"/>
                <w:iCs w:val="1"/>
              </w:rPr>
              <w:t xml:space="preserve">Normes et normativité. Etudes d'histoire du droit rassemblées en l'honneur d'Albert Rigaudière</w:t>
            </w:r>
            <w:r>
              <w:rPr/>
              <w:t xml:space="preserve">, Economica, p. 189-211, 2009</w:t>
            </w:r>
          </w:p>
          <w:p>
            <w:pPr/>
            <w:r>
              <w:rPr/>
              <w:t xml:space="preserve">Chapitre d'ouvrage</w:t>
            </w:r>
          </w:p>
          <w:p>
            <w:pPr/>
            <w:hyperlink r:id="rId42" w:history="1">
              <w:r>
                <w:rPr>
                  <w:color w:val="#410a8c"/>
                  <w:u w:val="single"/>
                </w:rPr>
                <w:t xml:space="preserve">hal-03889041v1</w:t>
              </w:r>
            </w:hyperlink>
          </w:p>
        </w:tc>
      </w:tr>
      <w:tr>
        <w:trPr/>
        <w:tc>
          <w:tcPr>
            <w:noWrap/>
          </w:tcPr>
          <w:p>
            <w:pPr>
              <w:spacing w:after="200"/>
            </w:pPr>
            <w:hyperlink r:id="rId43" w:history="1">
              <w:r>
                <w:rPr>
                  <w:color w:val="1e198e"/>
                  <w:b w:val="1"/>
                  <w:bCs w:val="1"/>
                  <w:u w:val="single"/>
                </w:rPr>
                <w:t xml:space="preserve">L'abus de la loi chez Daniel Jousse</w:t>
              </w:r>
            </w:hyperlink>
          </w:p>
          <w:p>
            <w:pPr/>
            <w:hyperlink r:id="rId12" w:history="1">
              <w:r>
                <w:rPr>
                  <w:color w:val="#410a8c"/>
                  <w:u w:val="single"/>
                </w:rPr>
                <w:t xml:space="preserve">Anne Rousselet-Pimont</w:t>
              </w:r>
            </w:hyperlink>
          </w:p>
          <w:p>
            <w:pPr/>
            <w:r>
              <w:rPr/>
              <w:t xml:space="preserve">Corinne Leveleux; Yann Delbrel. </w:t>
            </w:r>
            <w:r>
              <w:rPr>
                <w:i w:val="1"/>
                <w:iCs w:val="1"/>
              </w:rPr>
              <w:t xml:space="preserve">Daniel Jousse (1704-1781). Un juriste au temps des Lumières</w:t>
            </w:r>
            <w:r>
              <w:rPr/>
              <w:t xml:space="preserve">, Cahiers de l'Institut d'Anthropologie juridique (16), PULIM, p. 115-132, 2007</w:t>
            </w:r>
          </w:p>
          <w:p>
            <w:pPr/>
            <w:r>
              <w:rPr/>
              <w:t xml:space="preserve">Chapitre d'ouvrage</w:t>
            </w:r>
          </w:p>
          <w:p>
            <w:pPr/>
            <w:hyperlink r:id="rId43" w:history="1">
              <w:r>
                <w:rPr>
                  <w:color w:val="#410a8c"/>
                  <w:u w:val="single"/>
                </w:rPr>
                <w:t xml:space="preserve">hal-03889024v1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E0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B9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rousselet-pimont" TargetMode="External"/><Relationship Id="rId8" Type="http://schemas.openxmlformats.org/officeDocument/2006/relationships/hyperlink" Target="https://orcid.org/0000-0001-8061-8588" TargetMode="External"/><Relationship Id="rId9" Type="http://schemas.openxmlformats.org/officeDocument/2006/relationships/hyperlink" Target="https://www.idref.fr/035272805" TargetMode="External"/><Relationship Id="rId10" Type="http://schemas.openxmlformats.org/officeDocument/2006/relationships/hyperlink" Target="https://viaf.org/viaf/51830547" TargetMode="External"/><Relationship Id="rId11" Type="http://schemas.openxmlformats.org/officeDocument/2006/relationships/hyperlink" Target="https://shs.hal.science/halshs-05432989v1" TargetMode="External"/><Relationship Id="rId12" Type="http://schemas.openxmlformats.org/officeDocument/2006/relationships/hyperlink" Target="https://hal.science/search/index/?q=*&amp;authFullName_s=Anne Rousselet-Pimont" TargetMode="External"/><Relationship Id="rId13" Type="http://schemas.openxmlformats.org/officeDocument/2006/relationships/hyperlink" Target="https://hal.science/search/index/?q=*&amp;authFullName_s=Etienne Pataut" TargetMode="External"/><Relationship Id="rId14" Type="http://schemas.openxmlformats.org/officeDocument/2006/relationships/hyperlink" Target="https://paris1.hal.science/hal-04604832v1" TargetMode="External"/><Relationship Id="rId15" Type="http://schemas.openxmlformats.org/officeDocument/2006/relationships/hyperlink" Target="https://dx.doi.org/10.1387/iura.vasconiae.26273" TargetMode="External"/><Relationship Id="rId16" Type="http://schemas.openxmlformats.org/officeDocument/2006/relationships/hyperlink" Target="https://paris1.hal.science/hal-03241314v1" TargetMode="External"/><Relationship Id="rId17" Type="http://schemas.openxmlformats.org/officeDocument/2006/relationships/hyperlink" Target="https://paris1.hal.science/hal-03889888v1" TargetMode="External"/><Relationship Id="rId18" Type="http://schemas.openxmlformats.org/officeDocument/2006/relationships/hyperlink" Target="https://hal.science/hal-03296327v1" TargetMode="External"/><Relationship Id="rId19" Type="http://schemas.openxmlformats.org/officeDocument/2006/relationships/hyperlink" Target="https://paris1.hal.science/hal-03241357v1" TargetMode="External"/><Relationship Id="rId20" Type="http://schemas.openxmlformats.org/officeDocument/2006/relationships/hyperlink" Target="https://paris1.hal.science/hal-03241287v1" TargetMode="External"/><Relationship Id="rId21" Type="http://schemas.openxmlformats.org/officeDocument/2006/relationships/hyperlink" Target="https://paris1.hal.science/hal-03241320v1" TargetMode="External"/><Relationship Id="rId22" Type="http://schemas.openxmlformats.org/officeDocument/2006/relationships/hyperlink" Target="https://shs.hal.science/halshs-01557958v1" TargetMode="External"/><Relationship Id="rId23" Type="http://schemas.openxmlformats.org/officeDocument/2006/relationships/hyperlink" Target="https://hal.science/search/index/?q=*&amp;authFullName_s=Corinne Leveleux-Teixeira" TargetMode="External"/><Relationship Id="rId24" Type="http://schemas.openxmlformats.org/officeDocument/2006/relationships/hyperlink" Target="https://hal.science/search/index/?q=*&amp;authFullName_s=Pierre Bonin" TargetMode="External"/><Relationship Id="rId25" Type="http://schemas.openxmlformats.org/officeDocument/2006/relationships/hyperlink" Target="https://hal.science/search/index/?q=*&amp;authFullName_s=Florent Garnier" TargetMode="External"/><Relationship Id="rId26" Type="http://schemas.openxmlformats.org/officeDocument/2006/relationships/hyperlink" Target="https://hal.science/search/index/?q=*&amp;authFullName_s=Jacques Le Goff" TargetMode="External"/><Relationship Id="rId27" Type="http://schemas.openxmlformats.org/officeDocument/2006/relationships/hyperlink" Target="https://paris1.hal.science/hal-03889003v1" TargetMode="External"/><Relationship Id="rId28" Type="http://schemas.openxmlformats.org/officeDocument/2006/relationships/hyperlink" Target="https://paris1.hal.science/hal-03241400v1" TargetMode="External"/><Relationship Id="rId29" Type="http://schemas.openxmlformats.org/officeDocument/2006/relationships/hyperlink" Target="https://www.lgdj.fr/" TargetMode="External"/><Relationship Id="rId30" Type="http://schemas.openxmlformats.org/officeDocument/2006/relationships/hyperlink" Target="https://hal.science/hal-05439708v1" TargetMode="External"/><Relationship Id="rId31" Type="http://schemas.openxmlformats.org/officeDocument/2006/relationships/hyperlink" Target="https://paris1.hal.science/hal-03889942v1" TargetMode="External"/><Relationship Id="rId32" Type="http://schemas.openxmlformats.org/officeDocument/2006/relationships/hyperlink" Target="https://paris1.hal.science/hal-03889855v1" TargetMode="External"/><Relationship Id="rId33" Type="http://schemas.openxmlformats.org/officeDocument/2006/relationships/hyperlink" Target="https://paris1.hal.science/hal-03889116v1" TargetMode="External"/><Relationship Id="rId34" Type="http://schemas.openxmlformats.org/officeDocument/2006/relationships/hyperlink" Target="https://paris1.hal.science/hal-03889097v1" TargetMode="External"/><Relationship Id="rId35" Type="http://schemas.openxmlformats.org/officeDocument/2006/relationships/hyperlink" Target="https://paris1.hal.science/hal-03889090v1" TargetMode="External"/><Relationship Id="rId36" Type="http://schemas.openxmlformats.org/officeDocument/2006/relationships/hyperlink" Target="https://hal.science/hal-04558174v1" TargetMode="External"/><Relationship Id="rId37" Type="http://schemas.openxmlformats.org/officeDocument/2006/relationships/hyperlink" Target="https://hal.science/search/index/?q=*&amp;authFullName_s=Sophie Petitrenaud" TargetMode="External"/><Relationship Id="rId38" Type="http://schemas.openxmlformats.org/officeDocument/2006/relationships/hyperlink" Target="https://paris1.hal.science/hal-03889069v1" TargetMode="External"/><Relationship Id="rId39" Type="http://schemas.openxmlformats.org/officeDocument/2006/relationships/hyperlink" Target="https://paris1.hal.science/hal-03889052v1" TargetMode="External"/><Relationship Id="rId40" Type="http://schemas.openxmlformats.org/officeDocument/2006/relationships/hyperlink" Target="https://paris1.hal.science/hal-03889063v1" TargetMode="External"/><Relationship Id="rId41" Type="http://schemas.openxmlformats.org/officeDocument/2006/relationships/hyperlink" Target="https://paris1.hal.science/hal-03889058v1" TargetMode="External"/><Relationship Id="rId42" Type="http://schemas.openxmlformats.org/officeDocument/2006/relationships/hyperlink" Target="https://paris1.hal.science/hal-03889041v1" TargetMode="External"/><Relationship Id="rId43" Type="http://schemas.openxmlformats.org/officeDocument/2006/relationships/hyperlink" Target="https://paris1.hal.science/hal-03889024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ROUSSELET-PIMONT</dc:title>
  <dc:description>CV</dc:description>
  <dc:subject/>
  <cp:keywords/>
  <cp:category/>
  <cp:lastModifiedBy/>
  <dcterms:created xsi:type="dcterms:W3CDTF">2026-05-07T16:03:41+02:00</dcterms:created>
  <dcterms:modified xsi:type="dcterms:W3CDTF">2026-05-07T16:03:41+02:00</dcterms:modified>
</cp:coreProperties>
</file>

<file path=docProps/custom.xml><?xml version="1.0" encoding="utf-8"?>
<Properties xmlns="http://schemas.openxmlformats.org/officeDocument/2006/custom-properties" xmlns:vt="http://schemas.openxmlformats.org/officeDocument/2006/docPropsVTypes"/>
</file>