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Cauvin </w:t>
      </w:r>
      <w:r>
        <w:rPr>
          <w:color w:val="641e6e"/>
        </w:rPr>
        <w:t xml:space="preserve">Chargé d’Opération et de Recherche – Spécialiste sur l'âge du Fer et céramologue à l'Inrap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axel-cauvin</w:t>
        </w:r>
      </w:hyperlink>
    </w:p>
    <w:p>
      <w:pPr>
        <w:numPr>
          <w:ilvl w:val="0"/>
          <w:numId w:val="1"/>
        </w:numPr>
      </w:pPr>
      <w:r>
        <w:rPr/>
        <w:t xml:space="preserve"> ORCID : </w:t>
      </w:r>
      <w:hyperlink r:id="rId8" w:history="1">
        <w:r>
          <w:rPr>
            <w:color w:val="#410a8c"/>
            <w:u w:val="single"/>
          </w:rPr>
          <w:t xml:space="preserve">0000-0002-2072-3367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w:t>
      </w:r>
    </w:p>
    <w:p>
      <w:pPr/>
      <w:r>
        <w:rPr/>
        <w:t xml:space="preserve">Mes recherches portent sur les populations celtiques dans le sud de la France et plus particulièrement sur les interactions, commerciales, culturelles et conflictuelles avec les Grecs et les Romains au deuxième âge du Fer. Cette activité initiée lors de mon cursus universitaire se prolonge avec mes travaux actuels en archéologie préventive en tant que </w:t>
      </w:r>
      <w:r>
        <w:rPr>
          <w:b w:val="1"/>
          <w:bCs w:val="1"/>
        </w:rPr>
        <w:t xml:space="preserve">chargé d’opération et de recherche</w:t>
      </w:r>
      <w:r>
        <w:rPr/>
        <w:t xml:space="preserve"> et </w:t>
      </w:r>
      <w:r>
        <w:rPr>
          <w:b w:val="1"/>
          <w:bCs w:val="1"/>
        </w:rPr>
        <w:t xml:space="preserve">céramologue</w:t>
      </w:r>
      <w:r>
        <w:rPr/>
        <w:t xml:space="preserve"> à l’</w:t>
      </w:r>
      <w:r>
        <w:rPr>
          <w:b w:val="1"/>
          <w:bCs w:val="1"/>
        </w:rPr>
        <w:t xml:space="preserve">Inrap</w:t>
      </w:r>
      <w:r>
        <w:rPr/>
        <w:t xml:space="preserve"> au centre de recherche archéologique de Marseille.</w:t>
      </w:r>
    </w:p>
    <w:p>
      <w:pPr>
        <w:numPr>
          <w:ilvl w:val="0"/>
          <w:numId w:val="2"/>
        </w:numPr>
      </w:pPr>
      <w:r>
        <w:rPr>
          <w:b w:val="1"/>
          <w:bCs w:val="1"/>
        </w:rPr>
        <w:t xml:space="preserve">Cursus universitaire</w:t>
      </w:r>
    </w:p>
    <w:p>
      <w:pPr>
        <w:numPr>
          <w:ilvl w:val="0"/>
          <w:numId w:val="3"/>
        </w:numPr>
      </w:pPr>
      <w:r>
        <w:rPr>
          <w:b w:val="1"/>
          <w:bCs w:val="1"/>
        </w:rPr>
        <w:t xml:space="preserve">2021</w:t>
      </w:r>
      <w:r>
        <w:rPr/>
        <w:t xml:space="preserve">  Qualification aux fonction de maître de conférences, Section 21, n° 21221359263</w:t>
      </w:r>
    </w:p>
    <w:p>
      <w:pPr>
        <w:numPr>
          <w:ilvl w:val="0"/>
          <w:numId w:val="3"/>
        </w:numPr>
      </w:pPr>
      <w:r>
        <w:rPr>
          <w:b w:val="1"/>
          <w:bCs w:val="1"/>
        </w:rPr>
        <w:t xml:space="preserve">2015 – 2018</w:t>
      </w:r>
      <w:r>
        <w:rPr/>
        <w:t xml:space="preserve">  Doctorat d’Archéologie, Aix-Marseille Université, Bouches-du-Rhône. Aux origines de la Provence : les populations gauloises entre hellénisation et romanisation (300-125 av. J.-C.). Contextes archéologiques et concepts historiques – Sous la direction de D. Garcia (INRAP, CCJ).</w:t>
      </w:r>
    </w:p>
    <w:p>
      <w:pPr>
        <w:numPr>
          <w:ilvl w:val="0"/>
          <w:numId w:val="3"/>
        </w:numPr>
      </w:pPr>
      <w:r>
        <w:rPr>
          <w:b w:val="1"/>
          <w:bCs w:val="1"/>
        </w:rPr>
        <w:t xml:space="preserve">2010 – 2013</w:t>
      </w:r>
      <w:r>
        <w:rPr/>
        <w:t xml:space="preserve">  Double licence d’Histoire et d’Archéologie, Aix-Marseille Université, Bouches-du-Rhône. Mention Bien en histoire, Mention Assez Bien en archéologie.</w:t>
      </w:r>
    </w:p>
    <w:p>
      <w:pPr>
        <w:numPr>
          <w:ilvl w:val="0"/>
          <w:numId w:val="3"/>
        </w:numPr>
      </w:pPr>
      <w:r>
        <w:rPr>
          <w:b w:val="1"/>
          <w:bCs w:val="1"/>
        </w:rPr>
        <w:t xml:space="preserve">2007 – 2010</w:t>
      </w:r>
      <w:r>
        <w:rPr/>
        <w:t xml:space="preserve"> Baccalauréat, Lycée St-Exupéry, Saint-Raphaël, Var. Série Économique et Sociale, spécialité science économique et sociale, option grec ancien, Mention Très Bien.</w:t>
      </w:r>
    </w:p>
    <w:p>
      <w:pPr>
        <w:numPr>
          <w:ilvl w:val="0"/>
          <w:numId w:val="4"/>
        </w:numPr>
      </w:pPr>
      <w:r>
        <w:rPr>
          <w:b w:val="1"/>
          <w:bCs w:val="1"/>
        </w:rPr>
        <w:t xml:space="preserve">Expériences professionnelles</w:t>
      </w:r>
    </w:p>
    <w:p>
      <w:pPr/>
      <w:r>
        <w:rPr>
          <w:b w:val="1"/>
          <w:bCs w:val="1"/>
        </w:rPr>
        <w:t xml:space="preserve">Depuis janvier 2023</w:t>
      </w:r>
      <w:r>
        <w:rPr/>
        <w:t xml:space="preserve"> Chargé d’opération et de recherche, céramologue spécialiste âge du Fer, </w:t>
      </w:r>
      <w:r>
        <w:rPr>
          <w:i w:val="1"/>
          <w:iCs w:val="1"/>
        </w:rPr>
        <w:t xml:space="preserve">Inrap Méditerranée, Marseille, Bouches-du-Rhône.</w:t>
      </w:r>
    </w:p>
    <w:p>
      <w:pPr>
        <w:numPr>
          <w:ilvl w:val="0"/>
          <w:numId w:val="5"/>
        </w:numPr>
      </w:pPr>
      <w:r>
        <w:rPr>
          <w:b w:val="1"/>
          <w:bCs w:val="1"/>
        </w:rPr>
        <w:t xml:space="preserve">oct.-novembre | 2022</w:t>
      </w:r>
      <w:r>
        <w:rPr/>
        <w:t xml:space="preserve"> Céramologue,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juillet | 2022</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mai-juin | 2022</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janv.-avril | 2022</w:t>
      </w:r>
      <w:r>
        <w:rPr/>
        <w:t xml:space="preserve"> Technicien d’opération, </w:t>
      </w:r>
      <w:r>
        <w:rPr>
          <w:i w:val="1"/>
          <w:iCs w:val="1"/>
        </w:rPr>
        <w:t xml:space="preserve">Inrap Méditerranée, Marseille, Bouches-du-Rhône.</w:t>
      </w:r>
    </w:p>
    <w:p>
      <w:pPr>
        <w:numPr>
          <w:ilvl w:val="0"/>
          <w:numId w:val="5"/>
        </w:numPr>
      </w:pPr>
      <w:r>
        <w:rPr>
          <w:b w:val="1"/>
          <w:bCs w:val="1"/>
        </w:rPr>
        <w:t xml:space="preserve">oct.-déc. | 2021</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juillet | 2021</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avr.-mai | 2021</w:t>
      </w:r>
      <w:r>
        <w:rPr/>
        <w:t xml:space="preserve"> Archéologue fouilleur qualifié, </w:t>
      </w:r>
      <w:r>
        <w:rPr>
          <w:i w:val="1"/>
          <w:iCs w:val="1"/>
        </w:rPr>
        <w:t xml:space="preserve">Mosaïques Archéologie, Cournonterral, Hérault.</w:t>
      </w:r>
    </w:p>
    <w:p>
      <w:pPr>
        <w:numPr>
          <w:ilvl w:val="0"/>
          <w:numId w:val="5"/>
        </w:numPr>
      </w:pPr>
      <w:r>
        <w:rPr>
          <w:b w:val="1"/>
          <w:bCs w:val="1"/>
        </w:rPr>
        <w:t xml:space="preserve">janv. | 2021</w:t>
      </w:r>
      <w:r>
        <w:rPr/>
        <w:t xml:space="preserve"> Ingénieur d’étude contractuel, </w:t>
      </w:r>
      <w:r>
        <w:rPr>
          <w:i w:val="1"/>
          <w:iCs w:val="1"/>
        </w:rPr>
        <w:t xml:space="preserve">Archéologie des Sociétés Méditerranéennes, CNRS, Montpellier, Hérault.</w:t>
      </w:r>
    </w:p>
    <w:p>
      <w:pPr>
        <w:numPr>
          <w:ilvl w:val="0"/>
          <w:numId w:val="5"/>
        </w:numPr>
      </w:pPr>
      <w:r>
        <w:rPr>
          <w:b w:val="1"/>
          <w:bCs w:val="1"/>
        </w:rPr>
        <w:t xml:space="preserve">oct.-déc. | 2020</w:t>
      </w:r>
      <w:r>
        <w:rPr/>
        <w:t xml:space="preserve"> Agent temporaire vacataire, </w:t>
      </w:r>
      <w:r>
        <w:rPr>
          <w:i w:val="1"/>
          <w:iCs w:val="1"/>
        </w:rPr>
        <w:t xml:space="preserve">Département d’Histoire de l’Art et d’Archéologie, Aix-Marseille Université, Bouches-du-Rhône.</w:t>
      </w:r>
    </w:p>
    <w:p>
      <w:pPr>
        <w:numPr>
          <w:ilvl w:val="0"/>
          <w:numId w:val="5"/>
        </w:numPr>
      </w:pPr>
      <w:r>
        <w:rPr>
          <w:b w:val="1"/>
          <w:bCs w:val="1"/>
        </w:rPr>
        <w:t xml:space="preserve">2018 – 2020</w:t>
      </w:r>
      <w:r>
        <w:rPr/>
        <w:t xml:space="preserve"> Attaché temporaire d’enseignement et de recherche (ATER), Antiquités nationales : Protohistoire – période gallo-romaine, </w:t>
      </w:r>
      <w:r>
        <w:rPr>
          <w:i w:val="1"/>
          <w:iCs w:val="1"/>
        </w:rPr>
        <w:t xml:space="preserve">Aix-Marseille Université, Bouches-du-Rhône.</w:t>
      </w:r>
    </w:p>
    <w:p>
      <w:pPr>
        <w:numPr>
          <w:ilvl w:val="0"/>
          <w:numId w:val="5"/>
        </w:numPr>
      </w:pPr>
      <w:r>
        <w:rPr>
          <w:b w:val="1"/>
          <w:bCs w:val="1"/>
        </w:rPr>
        <w:t xml:space="preserve">2015 – 2018</w:t>
      </w:r>
      <w:r>
        <w:rPr/>
        <w:t xml:space="preserve"> Doctorant contractuel, Région PACA, </w:t>
      </w:r>
      <w:r>
        <w:rPr>
          <w:i w:val="1"/>
          <w:iCs w:val="1"/>
        </w:rPr>
        <w:t xml:space="preserve">Aix-Marseille Université, Bouches-du-Rhône ; Partenariat : Service Régional de l’Archéologie.</w:t>
      </w:r>
    </w:p>
    <w:p>
      <w:pPr>
        <w:numPr>
          <w:ilvl w:val="0"/>
          <w:numId w:val="6"/>
        </w:numPr>
      </w:pPr>
      <w:r>
        <w:rPr>
          <w:b w:val="1"/>
          <w:bCs w:val="1"/>
        </w:rPr>
        <w:t xml:space="preserve">Expérience archéologique de terrain</w:t>
      </w:r>
    </w:p>
    <w:p>
      <w:pPr/>
      <w:r>
        <w:rPr>
          <w:b w:val="1"/>
          <w:bCs w:val="1"/>
          <w:i w:val="1"/>
          <w:iCs w:val="1"/>
        </w:rPr>
        <w:t xml:space="preserve">Responsabilité d'opération</w:t>
      </w:r>
    </w:p>
    <w:p>
      <w:pPr>
        <w:numPr>
          <w:ilvl w:val="0"/>
          <w:numId w:val="7"/>
        </w:numPr>
      </w:pPr>
      <w:r>
        <w:rPr>
          <w:b w:val="1"/>
          <w:bCs w:val="1"/>
        </w:rPr>
        <w:t xml:space="preserve">fév.-mai 2025</w:t>
      </w:r>
      <w:r>
        <w:rPr/>
        <w:t xml:space="preserve"> Fouille archéologique, Marseille, Bouches-du-Rhône, 0,3 ha, occupation rurale hellénistique.</w:t>
      </w:r>
    </w:p>
    <w:p>
      <w:pPr>
        <w:numPr>
          <w:ilvl w:val="0"/>
          <w:numId w:val="7"/>
        </w:numPr>
      </w:pPr>
      <w:r>
        <w:rPr>
          <w:b w:val="1"/>
          <w:bCs w:val="1"/>
        </w:rPr>
        <w:t xml:space="preserve">fév. 2024</w:t>
      </w:r>
      <w:r>
        <w:rPr/>
        <w:t xml:space="preserve"> Diagnostic archéologique, Peyrolles-en-Provence, Bouches-du-Rhône, 0,3 ha, âge des métaux, occupation rurale antique.</w:t>
      </w:r>
    </w:p>
    <w:p>
      <w:pPr>
        <w:numPr>
          <w:ilvl w:val="0"/>
          <w:numId w:val="7"/>
        </w:numPr>
      </w:pPr>
      <w:r>
        <w:rPr>
          <w:b w:val="1"/>
          <w:bCs w:val="1"/>
        </w:rPr>
        <w:t xml:space="preserve">avril 2023</w:t>
      </w:r>
      <w:r>
        <w:rPr/>
        <w:t xml:space="preserve"> Diagnostic archéologique, Belcodène, Bouches-du-Rhône, 0,8 ha, âge des métaux.</w:t>
      </w:r>
    </w:p>
    <w:p>
      <w:pPr>
        <w:numPr>
          <w:ilvl w:val="0"/>
          <w:numId w:val="7"/>
        </w:numPr>
      </w:pPr>
      <w:r>
        <w:rPr>
          <w:b w:val="1"/>
          <w:bCs w:val="1"/>
        </w:rPr>
        <w:t xml:space="preserve">fév. 2023</w:t>
      </w:r>
      <w:r>
        <w:rPr/>
        <w:t xml:space="preserve"> Diagnostic archéologique, Peyrolles-en-Provence, Bouches-du-Rhône, 0,5 ha, âge des métaux, occupation rurale antique.</w:t>
      </w:r>
    </w:p>
    <w:p>
      <w:pPr/>
      <w:r>
        <w:rPr>
          <w:b w:val="1"/>
          <w:bCs w:val="1"/>
          <w:i w:val="1"/>
          <w:iCs w:val="1"/>
        </w:rPr>
        <w:t xml:space="preserve">Responsabilité de secteur</w:t>
      </w:r>
    </w:p>
    <w:p>
      <w:pPr>
        <w:numPr>
          <w:ilvl w:val="0"/>
          <w:numId w:val="8"/>
        </w:numPr>
      </w:pPr>
      <w:r>
        <w:rPr>
          <w:b w:val="1"/>
          <w:bCs w:val="1"/>
        </w:rPr>
        <w:t xml:space="preserve">mars-juin 2024</w:t>
      </w:r>
      <w:r>
        <w:rPr/>
        <w:t xml:space="preserve"> Avenue Prosper Mérimée, Cavaillon, Vaucluse, agglomération de fin de l'âge du Fer et début de l'Antiquité, Sous la direction d’E. Sagetat-Basseuil (Inrap Méditerranéen, IRAA, chercheuse associée).</w:t>
      </w:r>
    </w:p>
    <w:p>
      <w:pPr>
        <w:numPr>
          <w:ilvl w:val="0"/>
          <w:numId w:val="8"/>
        </w:numPr>
      </w:pPr>
      <w:r>
        <w:rPr>
          <w:b w:val="1"/>
          <w:bCs w:val="1"/>
        </w:rPr>
        <w:t xml:space="preserve">janvier 2024</w:t>
      </w:r>
      <w:r>
        <w:rPr/>
        <w:t xml:space="preserve"> Route de Napollon, Le Gast, Aubagne, Bouches-du-Rhône, occupation néolithique et rurale antique, Sous la direction d’E. Sagetat-Basseuil (Inrap Méditerranéen, IRAA, chercheuse associée).</w:t>
      </w:r>
    </w:p>
    <w:p>
      <w:pPr>
        <w:numPr>
          <w:ilvl w:val="0"/>
          <w:numId w:val="8"/>
        </w:numPr>
      </w:pPr>
      <w:r>
        <w:rPr>
          <w:b w:val="1"/>
          <w:bCs w:val="1"/>
        </w:rPr>
        <w:t xml:space="preserve">octobre 2021</w:t>
      </w:r>
      <w:r>
        <w:rPr/>
        <w:t xml:space="preserve"> 19 rue Barbusse, Marseille, Bouches-du-Rhône, occupation hellénistique, Sous la direction d’E. Sagetat-Basseuil (Inrap Méditerranéen, IRAA, chercheuse associée).</w:t>
      </w:r>
    </w:p>
    <w:p>
      <w:pPr>
        <w:numPr>
          <w:ilvl w:val="0"/>
          <w:numId w:val="8"/>
        </w:numPr>
      </w:pPr>
      <w:r>
        <w:rPr>
          <w:b w:val="1"/>
          <w:bCs w:val="1"/>
        </w:rPr>
        <w:t xml:space="preserve">2017 – 2024</w:t>
      </w:r>
      <w:r>
        <w:rPr/>
        <w:t xml:space="preserve">  La Monédière, Bessan, Hérault. Sous la direction de A. Beylier (Archéologie des Sociétés Méditerranéennes – UMR 5140, chercheur associé).</w:t>
      </w:r>
    </w:p>
    <w:p>
      <w:pPr>
        <w:numPr>
          <w:ilvl w:val="0"/>
          <w:numId w:val="8"/>
        </w:numPr>
      </w:pPr>
      <w:r>
        <w:rPr>
          <w:b w:val="1"/>
          <w:bCs w:val="1"/>
        </w:rPr>
        <w:t xml:space="preserve">2017 – 2016</w:t>
      </w:r>
      <w:r>
        <w:rPr/>
        <w:t xml:space="preserve"> Place Saint-Jean, Le Cailar, Gard. Sous la direction de R. Roure (Archéologie des Sociétés Méditerranéennes – UMR 5140).</w:t>
      </w:r>
    </w:p>
    <w:p>
      <w:pPr/>
      <w:r>
        <w:rPr>
          <w:b w:val="1"/>
          <w:bCs w:val="1"/>
          <w:i w:val="1"/>
          <w:iCs w:val="1"/>
        </w:rPr>
        <w:t xml:space="preserve">Technicien de fouille</w:t>
      </w:r>
      <w:r>
        <w:rPr/>
        <w:t xml:space="preserve">Depuis 2023, participation à de nombreuses opérations de diagnostic dans les Bouches-du-Rhône : Aubagne, Ceyreste, Fos, La Ciotat, Marseille et Ventabren.</w:t>
      </w:r>
    </w:p>
    <w:p>
      <w:pPr/>
      <w:r>
        <w:rPr>
          <w:b w:val="1"/>
          <w:bCs w:val="1"/>
        </w:rPr>
        <w:t xml:space="preserve">Fouille préventive</w:t>
      </w:r>
    </w:p>
    <w:p>
      <w:pPr>
        <w:numPr>
          <w:ilvl w:val="0"/>
          <w:numId w:val="9"/>
        </w:numPr>
      </w:pPr>
      <w:r>
        <w:rPr>
          <w:b w:val="1"/>
          <w:bCs w:val="1"/>
        </w:rPr>
        <w:t xml:space="preserve">novembre-décembre 2023</w:t>
      </w:r>
      <w:r>
        <w:rPr/>
        <w:t xml:space="preserve"> Boulevard de Vintimille, Marseille, Bouches-du-Rhône, occupation rurale hellénistique. Sous la direction de Fr. Conche (Inrap Méditerranée).</w:t>
      </w:r>
    </w:p>
    <w:p>
      <w:pPr>
        <w:numPr>
          <w:ilvl w:val="0"/>
          <w:numId w:val="9"/>
        </w:numPr>
      </w:pPr>
      <w:r>
        <w:rPr>
          <w:b w:val="1"/>
          <w:bCs w:val="1"/>
        </w:rPr>
        <w:t xml:space="preserve">janv-juin 2022</w:t>
      </w:r>
      <w:r>
        <w:rPr/>
        <w:t xml:space="preserve"> Chemin de Faveyrolles, Ollioules, Var, Occupation néolithique, âge du Bronze, antique. Sous la direction de B. Gourlin (Inrap Méditerranée).</w:t>
      </w:r>
    </w:p>
    <w:p>
      <w:pPr>
        <w:numPr>
          <w:ilvl w:val="0"/>
          <w:numId w:val="9"/>
        </w:numPr>
      </w:pPr>
      <w:r>
        <w:rPr>
          <w:b w:val="1"/>
          <w:bCs w:val="1"/>
        </w:rPr>
        <w:t xml:space="preserve">avril-mai 2021</w:t>
      </w:r>
      <w:r>
        <w:rPr/>
        <w:t xml:space="preserve"> 933 chemin de la République, Gémenos, Bouches-du-Rhône, Habitat du Haut-Empire. Sous la direction de Q. Desbonnets (Mosaïques Archéologie – UMR 5140, chercheur associé.)</w:t>
      </w:r>
    </w:p>
    <w:p>
      <w:pPr/>
      <w:r>
        <w:rPr>
          <w:b w:val="1"/>
          <w:bCs w:val="1"/>
        </w:rPr>
        <w:t xml:space="preserve">Fouille programée</w:t>
      </w:r>
    </w:p>
    <w:p>
      <w:pPr>
        <w:numPr>
          <w:ilvl w:val="0"/>
          <w:numId w:val="10"/>
        </w:numPr>
      </w:pPr>
      <w:r>
        <w:rPr>
          <w:b w:val="1"/>
          <w:bCs w:val="1"/>
        </w:rPr>
        <w:t xml:space="preserve">2020</w:t>
      </w:r>
      <w:r>
        <w:rPr/>
        <w:t xml:space="preserve"> La Monédière, Bessan, Hérault, oppidum protohistorique. Sous la direction d’A. Beylier (Archéologie des Sociétés Méditerranéennes – UMR 5140, chercheur associé).</w:t>
      </w:r>
    </w:p>
    <w:p>
      <w:pPr>
        <w:numPr>
          <w:ilvl w:val="0"/>
          <w:numId w:val="10"/>
        </w:numPr>
      </w:pPr>
      <w:r>
        <w:rPr>
          <w:b w:val="1"/>
          <w:bCs w:val="1"/>
        </w:rPr>
        <w:t xml:space="preserve">2018</w:t>
      </w:r>
      <w:r>
        <w:rPr/>
        <w:t xml:space="preserve"> Megara Hyblaea, Sicile, cité grecque coloniale. Sous la direction de J.-Chr. Sourisseau et H. Tréziny (Centre Camille Jullian – UMR 7299).</w:t>
      </w:r>
    </w:p>
    <w:p>
      <w:pPr>
        <w:numPr>
          <w:ilvl w:val="0"/>
          <w:numId w:val="10"/>
        </w:numPr>
      </w:pPr>
      <w:r>
        <w:rPr>
          <w:b w:val="1"/>
          <w:bCs w:val="1"/>
        </w:rPr>
        <w:t xml:space="preserve">2015 et 2012</w:t>
      </w:r>
      <w:r>
        <w:rPr/>
        <w:t xml:space="preserve"> Stage sur le site de Lattara, Lattes, Hérault, comptoir protohistorique. Sous la direction d’É. Gailledrat (Archéologie des Sociétés Méditerranéennes – UMR 5140).</w:t>
      </w:r>
    </w:p>
    <w:p>
      <w:pPr>
        <w:numPr>
          <w:ilvl w:val="0"/>
          <w:numId w:val="10"/>
        </w:numPr>
      </w:pPr>
      <w:r>
        <w:rPr>
          <w:b w:val="1"/>
          <w:bCs w:val="1"/>
        </w:rPr>
        <w:t xml:space="preserve">2014</w:t>
      </w:r>
      <w:r>
        <w:rPr/>
        <w:t xml:space="preserve"> Stage à Kirrha, Phocide, Grèce, habitat et nécropole protohistorique. Sous la direction de R. Orgeolet (Centre Camille Jullian – UMR 7299) et J. Zurbach (Archéologie et Sciences de l’Antiquité – UMR 7041).</w:t>
      </w:r>
    </w:p>
    <w:p>
      <w:pPr>
        <w:numPr>
          <w:ilvl w:val="0"/>
          <w:numId w:val="10"/>
        </w:numPr>
      </w:pPr>
      <w:r>
        <w:rPr>
          <w:b w:val="1"/>
          <w:bCs w:val="1"/>
        </w:rPr>
        <w:t xml:space="preserve">2014</w:t>
      </w:r>
      <w:r>
        <w:rPr/>
        <w:t xml:space="preserve"> Stage sur le site du Malpas, Soyons, Ardèche, oppidum protohistorique et occupation tardo-antique. Sous la direction de P. Dutreuil (Archéométrie et Archéologie – UMR 5138).</w:t>
      </w:r>
    </w:p>
    <w:p>
      <w:pPr>
        <w:numPr>
          <w:ilvl w:val="0"/>
          <w:numId w:val="10"/>
        </w:numPr>
      </w:pPr>
      <w:r>
        <w:rPr>
          <w:b w:val="1"/>
          <w:bCs w:val="1"/>
        </w:rPr>
        <w:t xml:space="preserve">2013</w:t>
      </w:r>
      <w:r>
        <w:rPr/>
        <w:t xml:space="preserve"> Stage sur le site du Mandirac, Narbonne, Aude, port antique. Sous la direction de C. Sanchez (Archéologie des Sociétés Méditerranéennes – UMR 5140).</w:t>
      </w:r>
    </w:p>
    <w:p>
      <w:pPr>
        <w:numPr>
          <w:ilvl w:val="0"/>
          <w:numId w:val="10"/>
        </w:numPr>
      </w:pPr>
      <w:r>
        <w:rPr>
          <w:b w:val="1"/>
          <w:bCs w:val="1"/>
        </w:rPr>
        <w:t xml:space="preserve">2013</w:t>
      </w:r>
      <w:r>
        <w:rPr/>
        <w:t xml:space="preserve"> Stage sur le site d’Alésia, Alise-Sainte-Reine, Côte d’Or, sanctuaire gallo-romain. Sous la direction d’O. de Cazanove (Archéologie et Sciences de l’Antiquité – UMR 7041)</w:t>
      </w:r>
    </w:p>
    <w:p>
      <w:pPr>
        <w:numPr>
          <w:ilvl w:val="0"/>
          <w:numId w:val="10"/>
        </w:numPr>
      </w:pPr>
      <w:r>
        <w:rPr>
          <w:b w:val="1"/>
          <w:bCs w:val="1"/>
        </w:rPr>
        <w:t xml:space="preserve">2012-2011</w:t>
      </w:r>
      <w:r>
        <w:rPr/>
        <w:t xml:space="preserve"> Stage sur le site de Pech Maho, Sigean, Aude, oppidum protohistorique. Sous la direction d’É. Gailledrat (Archéologie des Sociétés Méditerranéennes – UMR 5140).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échanges commerciaux en Gaule méridionale au second âge du Fer : quantification et caractérisation des faciès</w:t>
              </w:r>
            </w:hyperlink>
          </w:p>
          <w:p>
            <w:pPr/>
            <w:hyperlink r:id="rId10" w:history="1">
              <w:r>
                <w:rPr>
                  <w:color w:val="#410a8c"/>
                  <w:u w:val="single"/>
                </w:rPr>
                <w:t xml:space="preserve">Axel Cauvin</w:t>
              </w:r>
            </w:hyperlink>
          </w:p>
          <w:p>
            <w:pPr/>
            <w:r>
              <w:rPr>
                <w:i w:val="1"/>
                <w:iCs w:val="1"/>
              </w:rPr>
              <w:t xml:space="preserve">Bulletin de l'Association française pour l'étude de l'âge du Fer</w:t>
            </w:r>
            <w:r>
              <w:rPr/>
              <w:t xml:space="preserve">, 2021, 39, pp.65-68</w:t>
            </w:r>
          </w:p>
          <w:p>
            <w:pPr/>
            <w:r>
              <w:rPr/>
              <w:t xml:space="preserve">Article dans une revue</w:t>
            </w:r>
          </w:p>
          <w:p>
            <w:pPr/>
            <w:hyperlink r:id="rId9" w:history="1">
              <w:r>
                <w:rPr>
                  <w:color w:val="#410a8c"/>
                  <w:u w:val="single"/>
                </w:rPr>
                <w:t xml:space="preserve">hal-03283020v1</w:t>
              </w:r>
            </w:hyperlink>
          </w:p>
        </w:tc>
      </w:tr>
      <w:tr>
        <w:trPr/>
        <w:tc>
          <w:tcPr>
            <w:noWrap/>
          </w:tcPr>
          <w:p>
            <w:pPr>
              <w:spacing w:after="200"/>
            </w:pPr>
            <w:hyperlink r:id="rId11" w:history="1">
              <w:r>
                <w:rPr>
                  <w:color w:val="1e198e"/>
                  <w:b w:val="1"/>
                  <w:bCs w:val="1"/>
                  <w:u w:val="single"/>
                </w:rPr>
                <w:t xml:space="preserve">L’occupation des VI&amp;lt;sup&amp;gt;e&amp;lt;/sup&amp;gt;-V&amp;lt;sup&amp;gt;e&amp;lt;/sup&amp;gt; siècles avant J.-C. sur le comptoir lagunaire du Cailar (Gard)</w:t>
              </w:r>
            </w:hyperlink>
          </w:p>
          <w:p>
            <w:pPr/>
            <w:hyperlink r:id="rId12" w:history="1">
              <w:r>
                <w:rPr>
                  <w:color w:val="#410a8c"/>
                  <w:u w:val="single"/>
                </w:rPr>
                <w:t xml:space="preserve">Réjane Roure</w:t>
              </w:r>
            </w:hyperlink>
            <w:r>
              <w:rPr/>
              <w:t xml:space="preserve">,</w:t>
            </w:r>
            <w:hyperlink r:id="rId13" w:history="1">
              <w:r>
                <w:rPr>
                  <w:color w:val="#410a8c"/>
                  <w:u w:val="single"/>
                </w:rPr>
                <w:t xml:space="preserve">Benjamin Girard</w:t>
              </w:r>
            </w:hyperlink>
            <w:r>
              <w:rPr/>
              <w:t xml:space="preserve">,</w:t>
            </w:r>
            <w:hyperlink r:id="rId14" w:history="1">
              <w:r>
                <w:rPr>
                  <w:color w:val="#410a8c"/>
                  <w:u w:val="single"/>
                </w:rPr>
                <w:t xml:space="preserve">Séverine Sanz</w:t>
              </w:r>
            </w:hyperlink>
            <w:r>
              <w:rPr/>
              <w:t xml:space="preserve">,</w:t>
            </w:r>
            <w:hyperlink r:id="rId15" w:history="1">
              <w:r>
                <w:rPr>
                  <w:color w:val="#410a8c"/>
                  <w:u w:val="single"/>
                </w:rPr>
                <w:t xml:space="preserve">Frédéric Terziano</w:t>
              </w:r>
            </w:hyperlink>
            <w:r>
              <w:rPr/>
              <w:t xml:space="preserve">,</w:t>
            </w:r>
            <w:hyperlink r:id="rId16" w:history="1">
              <w:r>
                <w:rPr>
                  <w:color w:val="#410a8c"/>
                  <w:u w:val="single"/>
                </w:rPr>
                <w:t xml:space="preserve">Anaïs Masquelier</w:t>
              </w:r>
            </w:hyperlink>
            <w:r>
              <w:rPr/>
              <w:t xml:space="preserve">et al.</w:t>
            </w:r>
          </w:p>
          <w:p>
            <w:pPr/>
            <w:r>
              <w:rPr>
                <w:i w:val="1"/>
                <w:iCs w:val="1"/>
              </w:rPr>
              <w:t xml:space="preserve">Bulletin de l'Association française pour l'étude de l'âge du Fer</w:t>
            </w:r>
            <w:r>
              <w:rPr/>
              <w:t xml:space="preserve">, 2020, 38, pp.37-39. </w:t>
            </w:r>
            <w:hyperlink r:id="rId17" w:history="1">
              <w:r>
                <w:rPr>
                  <w:color w:val="#410a8c"/>
                  <w:u w:val="single"/>
                </w:rPr>
                <w:t xml:space="preserve">⟨10.3406/afeaf.2020.1230⟩</w:t>
              </w:r>
            </w:hyperlink>
          </w:p>
          <w:p>
            <w:pPr/>
            <w:r>
              <w:rPr/>
              <w:t xml:space="preserve">Article dans une revue</w:t>
            </w:r>
          </w:p>
          <w:p>
            <w:pPr/>
            <w:hyperlink r:id="rId11" w:history="1">
              <w:r>
                <w:rPr>
                  <w:color w:val="#410a8c"/>
                  <w:u w:val="single"/>
                </w:rPr>
                <w:t xml:space="preserve">hal-03281953v1</w:t>
              </w:r>
            </w:hyperlink>
          </w:p>
        </w:tc>
      </w:tr>
      <w:tr>
        <w:trPr/>
        <w:tc>
          <w:tcPr>
            <w:noWrap/>
          </w:tcPr>
          <w:p>
            <w:pPr>
              <w:spacing w:after="200"/>
            </w:pPr>
            <w:hyperlink r:id="rId18" w:history="1">
              <w:r>
                <w:rPr>
                  <w:color w:val="1e198e"/>
                  <w:b w:val="1"/>
                  <w:bCs w:val="1"/>
                  <w:u w:val="single"/>
                </w:rPr>
                <w:t xml:space="preserve">La partie méridionale du premier village du quartier de l’Île à Martigues (Bouches‑du‑Rhône) entre le milieu du Ve s. et la fin du IIIe s. av. J.‑C.</w:t>
              </w:r>
            </w:hyperlink>
          </w:p>
          <w:p>
            <w:pPr/>
            <w:hyperlink r:id="rId10" w:history="1">
              <w:r>
                <w:rPr>
                  <w:color w:val="#410a8c"/>
                  <w:u w:val="single"/>
                </w:rPr>
                <w:t xml:space="preserve">Axel Cauvin</w:t>
              </w:r>
            </w:hyperlink>
          </w:p>
          <w:p>
            <w:pPr/>
            <w:r>
              <w:rPr>
                <w:i w:val="1"/>
                <w:iCs w:val="1"/>
              </w:rPr>
              <w:t xml:space="preserve">Documents d'archéologie méridionale</w:t>
            </w:r>
            <w:r>
              <w:rPr/>
              <w:t xml:space="preserve">, 2017, 39</w:t>
            </w:r>
          </w:p>
          <w:p>
            <w:pPr/>
            <w:r>
              <w:rPr/>
              <w:t xml:space="preserve">Article dans une revue</w:t>
            </w:r>
          </w:p>
          <w:p>
            <w:pPr/>
            <w:hyperlink r:id="rId18" w:history="1">
              <w:r>
                <w:rPr>
                  <w:color w:val="#410a8c"/>
                  <w:u w:val="single"/>
                </w:rPr>
                <w:t xml:space="preserve">halshs-01686092v1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Protohistoire méridionale : de la « Gallia Græca » à la Celtique méditerranéenne</w:t>
              </w:r>
            </w:hyperlink>
          </w:p>
          <w:p>
            <w:pPr/>
            <w:hyperlink r:id="rId10" w:history="1">
              <w:r>
                <w:rPr>
                  <w:color w:val="#410a8c"/>
                  <w:u w:val="single"/>
                </w:rPr>
                <w:t xml:space="preserve">Axel Cauvin</w:t>
              </w:r>
            </w:hyperlink>
          </w:p>
          <w:p>
            <w:pPr/>
            <w:r>
              <w:rPr>
                <w:i w:val="1"/>
                <w:iCs w:val="1"/>
              </w:rPr>
              <w:t xml:space="preserve">Représenter et se représenter (à) la Protohistoire</w:t>
            </w:r>
            <w:r>
              <w:rPr/>
              <w:t xml:space="preserve">, Mar 2018, Glux-en-Glenne, France</w:t>
            </w:r>
          </w:p>
          <w:p>
            <w:pPr/>
            <w:r>
              <w:rPr/>
              <w:t xml:space="preserve">Communication dans un congrès</w:t>
            </w:r>
          </w:p>
          <w:p>
            <w:pPr/>
            <w:hyperlink r:id="rId19" w:history="1">
              <w:r>
                <w:rPr>
                  <w:color w:val="#410a8c"/>
                  <w:u w:val="single"/>
                </w:rPr>
                <w:t xml:space="preserve">halshs-01795241v1</w:t>
              </w:r>
            </w:hyperlink>
          </w:p>
        </w:tc>
      </w:tr>
      <w:tr>
        <w:trPr/>
        <w:tc>
          <w:tcPr>
            <w:noWrap/>
          </w:tcPr>
          <w:p>
            <w:pPr>
              <w:spacing w:after="200"/>
            </w:pPr>
            <w:hyperlink r:id="rId20" w:history="1">
              <w:r>
                <w:rPr>
                  <w:color w:val="1e198e"/>
                  <w:b w:val="1"/>
                  <w:bCs w:val="1"/>
                  <w:u w:val="single"/>
                </w:rPr>
                <w:t xml:space="preserve">Protohistoric Provence: historiographical chimera or historical reality?</w:t>
              </w:r>
            </w:hyperlink>
          </w:p>
          <w:p>
            <w:pPr/>
            <w:hyperlink r:id="rId21" w:history="1">
              <w:r>
                <w:rPr>
                  <w:color w:val="#410a8c"/>
                  <w:u w:val="single"/>
                </w:rPr>
                <w:t xml:space="preserve">Luca Banchetti</w:t>
              </w:r>
            </w:hyperlink>
            <w:r>
              <w:rPr/>
              <w:t xml:space="preserve">,</w:t>
            </w:r>
            <w:hyperlink r:id="rId22" w:history="1">
              <w:r>
                <w:rPr>
                  <w:color w:val="#410a8c"/>
                  <w:u w:val="single"/>
                </w:rPr>
                <w:t xml:space="preserve">Loup Bernard</w:t>
              </w:r>
            </w:hyperlink>
            <w:r>
              <w:rPr/>
              <w:t xml:space="preserve">,</w:t>
            </w:r>
            <w:hyperlink r:id="rId10" w:history="1">
              <w:r>
                <w:rPr>
                  <w:color w:val="#410a8c"/>
                  <w:u w:val="single"/>
                </w:rPr>
                <w:t xml:space="preserve">Axel Cauvin</w:t>
              </w:r>
            </w:hyperlink>
            <w:r>
              <w:rPr/>
              <w:t xml:space="preserve">,</w:t>
            </w:r>
            <w:hyperlink r:id="rId23" w:history="1">
              <w:r>
                <w:rPr>
                  <w:color w:val="#410a8c"/>
                  <w:u w:val="single"/>
                </w:rPr>
                <w:t xml:space="preserve">Delphine Isoardi</w:t>
              </w:r>
            </w:hyperlink>
          </w:p>
          <w:p>
            <w:pPr/>
            <w:r>
              <w:rPr>
                <w:i w:val="1"/>
                <w:iCs w:val="1"/>
              </w:rPr>
              <w:t xml:space="preserve">42e colloque international de l’Association Française pour l’Etude de l’Age du Fer. Unity and Diversity in the Celtic World.</w:t>
            </w:r>
            <w:r>
              <w:rPr/>
              <w:t xml:space="preserve">, May 2018, Prague, Czech Republic</w:t>
            </w:r>
          </w:p>
          <w:p>
            <w:pPr/>
            <w:r>
              <w:rPr/>
              <w:t xml:space="preserve">Communication dans un congrès</w:t>
            </w:r>
          </w:p>
          <w:p>
            <w:pPr/>
            <w:hyperlink r:id="rId20" w:history="1">
              <w:r>
                <w:rPr>
                  <w:color w:val="#410a8c"/>
                  <w:u w:val="single"/>
                </w:rPr>
                <w:t xml:space="preserve">halshs-01795232v1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Monédière (Bessan, Hérault). Rapport intermédiaire de fouille programmée, campagne 2024</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1" w:history="1">
              <w:r>
                <w:rPr>
                  <w:color w:val="#410a8c"/>
                  <w:u w:val="single"/>
                </w:rPr>
                <w:t xml:space="preserve">Luca Banchetti</w:t>
              </w:r>
            </w:hyperlink>
            <w:r>
              <w:rPr/>
              <w:t xml:space="preserve">,</w:t>
            </w:r>
            <w:hyperlink r:id="rId10" w:history="1">
              <w:r>
                <w:rPr>
                  <w:color w:val="#410a8c"/>
                  <w:u w:val="single"/>
                </w:rPr>
                <w:t xml:space="preserve">Axel Cauvin</w:t>
              </w:r>
            </w:hyperlink>
          </w:p>
          <w:p>
            <w:pPr/>
            <w:r>
              <w:rPr/>
              <w:t xml:space="preserve">DRAC Occitanie, Montpellier. 2024, 146 p</w:t>
            </w:r>
          </w:p>
          <w:p>
            <w:pPr/>
            <w:r>
              <w:rPr/>
              <w:t xml:space="preserve">Rapport</w:t>
            </w:r>
          </w:p>
          <w:p>
            <w:pPr/>
            <w:hyperlink r:id="rId24" w:history="1">
              <w:r>
                <w:rPr>
                  <w:color w:val="#410a8c"/>
                  <w:u w:val="single"/>
                </w:rPr>
                <w:t xml:space="preserve">halshs-05085711v1</w:t>
              </w:r>
            </w:hyperlink>
          </w:p>
        </w:tc>
      </w:tr>
      <w:tr>
        <w:trPr/>
        <w:tc>
          <w:tcPr>
            <w:noWrap/>
          </w:tcPr>
          <w:p>
            <w:pPr>
              <w:spacing w:after="200"/>
            </w:pPr>
            <w:hyperlink r:id="rId27" w:history="1">
              <w:r>
                <w:rPr>
                  <w:color w:val="1e198e"/>
                  <w:b w:val="1"/>
                  <w:bCs w:val="1"/>
                  <w:u w:val="single"/>
                </w:rPr>
                <w:t xml:space="preserve">L'épave Grande Passe 1 (2e s. av. J.-C.) - Campagne 2022</w:t>
              </w:r>
            </w:hyperlink>
          </w:p>
          <w:p>
            <w:pPr/>
            <w:hyperlink r:id="rId28" w:history="1">
              <w:r>
                <w:rPr>
                  <w:color w:val="#410a8c"/>
                  <w:u w:val="single"/>
                </w:rPr>
                <w:t xml:space="preserve">Alex Sabastia</w:t>
              </w:r>
            </w:hyperlink>
            <w:r>
              <w:rPr/>
              <w:t xml:space="preserve">,</w:t>
            </w:r>
            <w:hyperlink r:id="rId10"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27" w:history="1">
              <w:r>
                <w:rPr>
                  <w:color w:val="#410a8c"/>
                  <w:u w:val="single"/>
                </w:rPr>
                <w:t xml:space="preserve">hal-04102296v1</w:t>
              </w:r>
            </w:hyperlink>
          </w:p>
        </w:tc>
      </w:tr>
      <w:tr>
        <w:trPr/>
        <w:tc>
          <w:tcPr>
            <w:noWrap/>
          </w:tcPr>
          <w:p>
            <w:pPr>
              <w:spacing w:after="200"/>
            </w:pPr>
            <w:hyperlink r:id="rId29" w:history="1">
              <w:r>
                <w:rPr>
                  <w:color w:val="1e198e"/>
                  <w:b w:val="1"/>
                  <w:bCs w:val="1"/>
                  <w:u w:val="single"/>
                </w:rPr>
                <w:t xml:space="preserve">La Monédière (Bessan, Hérault). Rapport de fouille programmée, 2023</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1" w:history="1">
              <w:r>
                <w:rPr>
                  <w:color w:val="#410a8c"/>
                  <w:u w:val="single"/>
                </w:rPr>
                <w:t xml:space="preserve">Luca Banchetti</w:t>
              </w:r>
            </w:hyperlink>
            <w:r>
              <w:rPr/>
              <w:t xml:space="preserve">,</w:t>
            </w:r>
            <w:hyperlink r:id="rId10" w:history="1">
              <w:r>
                <w:rPr>
                  <w:color w:val="#410a8c"/>
                  <w:u w:val="single"/>
                </w:rPr>
                <w:t xml:space="preserve">Axel Cauvin</w:t>
              </w:r>
            </w:hyperlink>
            <w:r>
              <w:rPr/>
              <w:t xml:space="preserve">,</w:t>
            </w:r>
            <w:hyperlink r:id="rId30"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29" w:history="1">
              <w:r>
                <w:rPr>
                  <w:color w:val="#410a8c"/>
                  <w:u w:val="single"/>
                </w:rPr>
                <w:t xml:space="preserve">halshs-04881843v1</w:t>
              </w:r>
            </w:hyperlink>
          </w:p>
        </w:tc>
      </w:tr>
      <w:tr>
        <w:trPr/>
        <w:tc>
          <w:tcPr>
            <w:noWrap/>
          </w:tcPr>
          <w:p>
            <w:pPr>
              <w:spacing w:after="200"/>
            </w:pPr>
            <w:hyperlink r:id="rId31" w:history="1">
              <w:r>
                <w:rPr>
                  <w:color w:val="1e198e"/>
                  <w:b w:val="1"/>
                  <w:bCs w:val="1"/>
                  <w:u w:val="single"/>
                </w:rPr>
                <w:t xml:space="preserve">La Monédière (Bessan, Hérault). Rapport final de fouille programmée, 2020-2022</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32" w:history="1">
              <w:r>
                <w:rPr>
                  <w:color w:val="#410a8c"/>
                  <w:u w:val="single"/>
                </w:rPr>
                <w:t xml:space="preserve">Nasrine Anwar</w:t>
              </w:r>
            </w:hyperlink>
            <w:r>
              <w:rPr/>
              <w:t xml:space="preserve">,</w:t>
            </w:r>
            <w:hyperlink r:id="rId21" w:history="1">
              <w:r>
                <w:rPr>
                  <w:color w:val="#410a8c"/>
                  <w:u w:val="single"/>
                </w:rPr>
                <w:t xml:space="preserve">Luca Banchetti</w:t>
              </w:r>
            </w:hyperlink>
            <w:r>
              <w:rPr/>
              <w:t xml:space="preserve">,</w:t>
            </w:r>
            <w:hyperlink r:id="rId33"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31" w:history="1">
              <w:r>
                <w:rPr>
                  <w:color w:val="#410a8c"/>
                  <w:u w:val="single"/>
                </w:rPr>
                <w:t xml:space="preserve">halshs-04881844v1</w:t>
              </w:r>
            </w:hyperlink>
          </w:p>
        </w:tc>
      </w:tr>
      <w:tr>
        <w:trPr/>
        <w:tc>
          <w:tcPr>
            <w:noWrap/>
          </w:tcPr>
          <w:p>
            <w:pPr>
              <w:spacing w:after="200"/>
            </w:pPr>
            <w:hyperlink r:id="rId34" w:history="1">
              <w:r>
                <w:rPr>
                  <w:color w:val="1e198e"/>
                  <w:b w:val="1"/>
                  <w:bCs w:val="1"/>
                  <w:u w:val="single"/>
                </w:rPr>
                <w:t xml:space="preserve">La Monédière (Bessan, Hérault). Rapport intermédiaire de fouille programmée, 2021</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1" w:history="1">
              <w:r>
                <w:rPr>
                  <w:color w:val="#410a8c"/>
                  <w:u w:val="single"/>
                </w:rPr>
                <w:t xml:space="preserve">Luca Banchetti</w:t>
              </w:r>
            </w:hyperlink>
            <w:r>
              <w:rPr/>
              <w:t xml:space="preserve">,</w:t>
            </w:r>
            <w:hyperlink r:id="rId35" w:history="1">
              <w:r>
                <w:rPr>
                  <w:color w:val="#410a8c"/>
                  <w:u w:val="single"/>
                </w:rPr>
                <w:t xml:space="preserve">Marie Canon</w:t>
              </w:r>
            </w:hyperlink>
            <w:r>
              <w:rPr/>
              <w:t xml:space="preserve">,</w:t>
            </w:r>
            <w:hyperlink r:id="rId10"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34" w:history="1">
              <w:r>
                <w:rPr>
                  <w:color w:val="#410a8c"/>
                  <w:u w:val="single"/>
                </w:rPr>
                <w:t xml:space="preserve">halshs-04881845v1</w:t>
              </w:r>
            </w:hyperlink>
          </w:p>
        </w:tc>
      </w:tr>
      <w:tr>
        <w:trPr/>
        <w:tc>
          <w:tcPr>
            <w:noWrap/>
          </w:tcPr>
          <w:p>
            <w:pPr>
              <w:spacing w:after="200"/>
            </w:pPr>
            <w:hyperlink r:id="rId36" w:history="1">
              <w:r>
                <w:rPr>
                  <w:color w:val="1e198e"/>
                  <w:b w:val="1"/>
                  <w:bCs w:val="1"/>
                  <w:u w:val="single"/>
                </w:rPr>
                <w:t xml:space="preserve">La Monédière (Bessan, Hérault). Rapport final de fouille programmée, 2017-2019</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1" w:history="1">
              <w:r>
                <w:rPr>
                  <w:color w:val="#410a8c"/>
                  <w:u w:val="single"/>
                </w:rPr>
                <w:t xml:space="preserve">Luca Banchetti</w:t>
              </w:r>
            </w:hyperlink>
            <w:r>
              <w:rPr/>
              <w:t xml:space="preserve">,</w:t>
            </w:r>
            <w:hyperlink r:id="rId37" w:history="1">
              <w:r>
                <w:rPr>
                  <w:color w:val="#410a8c"/>
                  <w:u w:val="single"/>
                </w:rPr>
                <w:t xml:space="preserve">Olympe Cauquil</w:t>
              </w:r>
            </w:hyperlink>
            <w:r>
              <w:rPr/>
              <w:t xml:space="preserve">,</w:t>
            </w:r>
            <w:hyperlink r:id="rId10"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36" w:history="1">
              <w:r>
                <w:rPr>
                  <w:color w:val="#410a8c"/>
                  <w:u w:val="single"/>
                </w:rPr>
                <w:t xml:space="preserve">halshs-04881850v1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Aux origines de la Provence: les populations gauloises entre hellénisation et romanisation (300 - 125 av. J.-C.). Contextes archéologiques et concepts historiques</w:t>
              </w:r>
            </w:hyperlink>
          </w:p>
          <w:p>
            <w:pPr/>
            <w:hyperlink r:id="rId10" w:history="1">
              <w:r>
                <w:rPr>
                  <w:color w:val="#410a8c"/>
                  <w:u w:val="single"/>
                </w:rPr>
                <w:t xml:space="preserve">Axel Cauvin</w:t>
              </w:r>
            </w:hyperlink>
          </w:p>
          <w:p>
            <w:pPr/>
            <w:r>
              <w:rPr/>
              <w:t xml:space="preserve">Archéologie et Préhistoire. Aix Marseille Univ, CNRS, Centre Camille Jullian, UMR 7299, 2020.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tel-03409610v1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3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C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0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7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E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0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1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9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0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3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cauvin" TargetMode="External"/><Relationship Id="rId8" Type="http://schemas.openxmlformats.org/officeDocument/2006/relationships/hyperlink" Target="https://orcid.org/0000-0002-2072-3367" TargetMode="External"/><Relationship Id="rId9" Type="http://schemas.openxmlformats.org/officeDocument/2006/relationships/hyperlink" Target="https://hal.science/hal-03283020v1" TargetMode="External"/><Relationship Id="rId10" Type="http://schemas.openxmlformats.org/officeDocument/2006/relationships/hyperlink" Target="https://hal.science/search/index/?q=*&amp;authFullName_s=Axel Cauvin" TargetMode="External"/><Relationship Id="rId11" Type="http://schemas.openxmlformats.org/officeDocument/2006/relationships/hyperlink" Target="https://hal.science/hal-03281953v1" TargetMode="External"/><Relationship Id="rId12" Type="http://schemas.openxmlformats.org/officeDocument/2006/relationships/hyperlink" Target="https://hal.science/search/index/?q=*&amp;authFullName_s=R&#233;jane Roure" TargetMode="External"/><Relationship Id="rId13" Type="http://schemas.openxmlformats.org/officeDocument/2006/relationships/hyperlink" Target="https://hal.science/search/index/?q=*&amp;authFullName_s=Benjamin Girard" TargetMode="External"/><Relationship Id="rId14" Type="http://schemas.openxmlformats.org/officeDocument/2006/relationships/hyperlink" Target="https://hal.science/search/index/?q=*&amp;authFullName_s=S&#233;verine Sanz" TargetMode="External"/><Relationship Id="rId15" Type="http://schemas.openxmlformats.org/officeDocument/2006/relationships/hyperlink" Target="https://hal.science/search/index/?q=*&amp;authFullName_s=Fr&#233;d&#233;ric Terziano" TargetMode="External"/><Relationship Id="rId16" Type="http://schemas.openxmlformats.org/officeDocument/2006/relationships/hyperlink" Target="https://hal.science/search/index/?q=*&amp;authFullName_s=Ana&#239;s Masquelier" TargetMode="External"/><Relationship Id="rId17" Type="http://schemas.openxmlformats.org/officeDocument/2006/relationships/hyperlink" Target="https://dx.doi.org/10.3406/afeaf.2020.1230" TargetMode="External"/><Relationship Id="rId18" Type="http://schemas.openxmlformats.org/officeDocument/2006/relationships/hyperlink" Target="https://shs.hal.science/halshs-01686092v1" TargetMode="External"/><Relationship Id="rId19" Type="http://schemas.openxmlformats.org/officeDocument/2006/relationships/hyperlink" Target="https://shs.hal.science/halshs-01795241v1" TargetMode="External"/><Relationship Id="rId20" Type="http://schemas.openxmlformats.org/officeDocument/2006/relationships/hyperlink" Target="https://shs.hal.science/halshs-01795232v1" TargetMode="External"/><Relationship Id="rId21" Type="http://schemas.openxmlformats.org/officeDocument/2006/relationships/hyperlink" Target="https://hal.science/search/index/?q=*&amp;authFullName_s=Luca Banchetti" TargetMode="External"/><Relationship Id="rId22" Type="http://schemas.openxmlformats.org/officeDocument/2006/relationships/hyperlink" Target="https://hal.science/search/index/?q=*&amp;authFullName_s=Loup Bernard" TargetMode="External"/><Relationship Id="rId23" Type="http://schemas.openxmlformats.org/officeDocument/2006/relationships/hyperlink" Target="https://hal.science/search/index/?q=*&amp;authFullName_s=Delphine Isoardi" TargetMode="External"/><Relationship Id="rId24" Type="http://schemas.openxmlformats.org/officeDocument/2006/relationships/hyperlink" Target="https://shs.hal.science/halshs-05085711v1" TargetMode="External"/><Relationship Id="rId25" Type="http://schemas.openxmlformats.org/officeDocument/2006/relationships/hyperlink" Target="https://hal.science/search/index/?q=*&amp;authFullName_s=Alexandre Beylier" TargetMode="External"/><Relationship Id="rId26" Type="http://schemas.openxmlformats.org/officeDocument/2006/relationships/hyperlink" Target="https://hal.science/search/index/?q=*&amp;authFullName_s=Juliette Bertaut" TargetMode="External"/><Relationship Id="rId27" Type="http://schemas.openxmlformats.org/officeDocument/2006/relationships/hyperlink" Target="https://hal.science/hal-04102296v1" TargetMode="External"/><Relationship Id="rId28" Type="http://schemas.openxmlformats.org/officeDocument/2006/relationships/hyperlink" Target="https://hal.science/search/index/?q=*&amp;authFullName_s=Alex Sabastia" TargetMode="External"/><Relationship Id="rId29" Type="http://schemas.openxmlformats.org/officeDocument/2006/relationships/hyperlink" Target="https://shs.hal.science/halshs-04881843v1" TargetMode="External"/><Relationship Id="rId30" Type="http://schemas.openxmlformats.org/officeDocument/2006/relationships/hyperlink" Target="https://hal.science/search/index/?q=*&amp;authFullName_s=Florian Milesi" TargetMode="External"/><Relationship Id="rId31" Type="http://schemas.openxmlformats.org/officeDocument/2006/relationships/hyperlink" Target="https://shs.hal.science/halshs-04881844v1" TargetMode="External"/><Relationship Id="rId32" Type="http://schemas.openxmlformats.org/officeDocument/2006/relationships/hyperlink" Target="https://hal.science/search/index/?q=*&amp;authFullName_s=Nasrine Anwar" TargetMode="External"/><Relationship Id="rId33" Type="http://schemas.openxmlformats.org/officeDocument/2006/relationships/hyperlink" Target="https://hal.science/search/index/?q=*&amp;authFullName_s=&#201;milie Blaise" TargetMode="External"/><Relationship Id="rId34" Type="http://schemas.openxmlformats.org/officeDocument/2006/relationships/hyperlink" Target="https://shs.hal.science/halshs-04881845v1" TargetMode="External"/><Relationship Id="rId35" Type="http://schemas.openxmlformats.org/officeDocument/2006/relationships/hyperlink" Target="https://hal.science/search/index/?q=*&amp;authFullName_s=Marie Canon" TargetMode="External"/><Relationship Id="rId36" Type="http://schemas.openxmlformats.org/officeDocument/2006/relationships/hyperlink" Target="https://shs.hal.science/halshs-04881850v1" TargetMode="External"/><Relationship Id="rId37" Type="http://schemas.openxmlformats.org/officeDocument/2006/relationships/hyperlink" Target="https://hal.science/search/index/?q=*&amp;authFullName_s=Olympe Cauquil" TargetMode="External"/><Relationship Id="rId38" Type="http://schemas.openxmlformats.org/officeDocument/2006/relationships/hyperlink" Target="https://shs.hal.science/tel-03409610v1"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Cauvin</dc:title>
  <dc:description>CV</dc:description>
  <dc:subject/>
  <cp:keywords/>
  <cp:category/>
  <cp:lastModifiedBy/>
  <dcterms:created xsi:type="dcterms:W3CDTF">2026-05-06T15:53:30+02:00</dcterms:created>
  <dcterms:modified xsi:type="dcterms:W3CDTF">2026-05-06T15:53:30+02:00</dcterms:modified>
</cp:coreProperties>
</file>

<file path=docProps/custom.xml><?xml version="1.0" encoding="utf-8"?>
<Properties xmlns="http://schemas.openxmlformats.org/officeDocument/2006/custom-properties" xmlns:vt="http://schemas.openxmlformats.org/officeDocument/2006/docPropsVTypes"/>
</file>