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RICOU </w:t>
      </w:r>
      <w:r>
        <w:rPr>
          <w:color w:val="641e6e"/>
        </w:rPr>
        <w:t xml:space="preserve">Maître de conférences en droit public, Université Jean Moulin Lyon 3 (Centre d’Études et de Recherches Financières et Fiscales, Équipe de Droit public de Lyon)</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Non-lieu à statuer fondé sur l'abrogation de la doctrine fiscale et l'absence d'effet utile de l'annulation : quand l'administration échappe au juge », note sous CE, 20 janvier 2026, Association de défense écologiste de la démocratie et des libertés, n° 505127</w:t>
              </w:r>
            </w:hyperlink>
          </w:p>
          <w:p>
            <w:pPr/>
            <w:hyperlink r:id="rId8" w:history="1">
              <w:r>
                <w:rPr>
                  <w:color w:val="#410a8c"/>
                  <w:u w:val="single"/>
                </w:rPr>
                <w:t xml:space="preserve">Benjamin Ricou</w:t>
              </w:r>
            </w:hyperlink>
          </w:p>
          <w:p>
            <w:pPr/>
            <w:r>
              <w:rPr>
                <w:i w:val="1"/>
                <w:iCs w:val="1"/>
              </w:rPr>
              <w:t xml:space="preserve">Dalloz Actualité</w:t>
            </w:r>
            <w:r>
              <w:rPr/>
              <w:t xml:space="preserve">, 2026</w:t>
            </w:r>
          </w:p>
          <w:p>
            <w:pPr/>
            <w:r>
              <w:rPr/>
              <w:t xml:space="preserve">Article dans une revue</w:t>
            </w:r>
          </w:p>
          <w:p>
            <w:pPr/>
            <w:hyperlink r:id="rId7" w:history="1">
              <w:r>
                <w:rPr>
                  <w:color w:val="#410a8c"/>
                  <w:u w:val="single"/>
                </w:rPr>
                <w:t xml:space="preserve">hal-05592135v1</w:t>
              </w:r>
            </w:hyperlink>
          </w:p>
        </w:tc>
      </w:tr>
      <w:tr>
        <w:trPr/>
        <w:tc>
          <w:tcPr>
            <w:noWrap/>
          </w:tcPr>
          <w:p>
            <w:pPr>
              <w:spacing w:after="200"/>
            </w:pPr>
            <w:hyperlink r:id="rId9"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2025</w:t>
            </w:r>
          </w:p>
          <w:p>
            <w:pPr/>
            <w:r>
              <w:rPr/>
              <w:t xml:space="preserve">Article dans une revue</w:t>
            </w:r>
          </w:p>
          <w:p>
            <w:pPr/>
            <w:hyperlink r:id="rId9" w:history="1">
              <w:r>
                <w:rPr>
                  <w:color w:val="#410a8c"/>
                  <w:u w:val="single"/>
                </w:rPr>
                <w:t xml:space="preserve">hal-05293388v1</w:t>
              </w:r>
            </w:hyperlink>
          </w:p>
        </w:tc>
      </w:tr>
      <w:tr>
        <w:trPr/>
        <w:tc>
          <w:tcPr>
            <w:noWrap/>
          </w:tcPr>
          <w:p>
            <w:pPr>
              <w:spacing w:after="200"/>
            </w:pPr>
            <w:hyperlink r:id="rId10" w:history="1">
              <w:r>
                <w:rPr>
                  <w:color w:val="1e198e"/>
                  <w:b w:val="1"/>
                  <w:bCs w:val="1"/>
                  <w:u w:val="single"/>
                </w:rPr>
                <w:t xml:space="preserve">Chronique financière</w:t>
              </w:r>
            </w:hyperlink>
          </w:p>
          <w:p>
            <w:pPr/>
            <w:hyperlink r:id="rId11" w:history="1">
              <w:r>
                <w:rPr>
                  <w:color w:val="#410a8c"/>
                  <w:u w:val="single"/>
                </w:rPr>
                <w:t xml:space="preserve">Lukasz Stankiewicz</w:t>
              </w:r>
            </w:hyperlink>
            <w:r>
              <w:rPr/>
              <w:t xml:space="preserve">,</w:t>
            </w:r>
            <w:hyperlink r:id="rId12" w:history="1">
              <w:r>
                <w:rPr>
                  <w:color w:val="#410a8c"/>
                  <w:u w:val="single"/>
                </w:rPr>
                <w:t xml:space="preserve">Christelle Ballandras-Rozet</w:t>
              </w:r>
            </w:hyperlink>
            <w:r>
              <w:rPr/>
              <w:t xml:space="preserve">,</w:t>
            </w:r>
            <w:hyperlink r:id="rId13" w:history="1">
              <w:r>
                <w:rPr>
                  <w:color w:val="#410a8c"/>
                  <w:u w:val="single"/>
                </w:rPr>
                <w:t xml:space="preserve">Damien Catteau</w:t>
              </w:r>
            </w:hyperlink>
            <w:r>
              <w:rPr/>
              <w:t xml:space="preserve">,</w:t>
            </w:r>
            <w:hyperlink r:id="rId14"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i w:val="1"/>
                <w:iCs w:val="1"/>
              </w:rPr>
              <w:t xml:space="preserve">Annuaire de droit de l'Union européenne</w:t>
            </w:r>
            <w:r>
              <w:rPr/>
              <w:t xml:space="preserve">, 2025, pp.779-802</w:t>
            </w:r>
          </w:p>
          <w:p>
            <w:pPr/>
            <w:r>
              <w:rPr/>
              <w:t xml:space="preserve">Article dans une revue</w:t>
            </w:r>
          </w:p>
          <w:p>
            <w:pPr/>
            <w:hyperlink r:id="rId10" w:history="1">
              <w:r>
                <w:rPr>
                  <w:color w:val="#410a8c"/>
                  <w:u w:val="single"/>
                </w:rPr>
                <w:t xml:space="preserve">hal-05593649v1</w:t>
              </w:r>
            </w:hyperlink>
          </w:p>
        </w:tc>
      </w:tr>
      <w:tr>
        <w:trPr/>
        <w:tc>
          <w:tcPr>
            <w:noWrap/>
          </w:tcPr>
          <w:p>
            <w:pPr>
              <w:spacing w:after="200"/>
            </w:pPr>
            <w:hyperlink r:id="rId15" w:history="1">
              <w:r>
                <w:rPr>
                  <w:color w:val="1e198e"/>
                  <w:b w:val="1"/>
                  <w:bCs w:val="1"/>
                  <w:u w:val="single"/>
                </w:rPr>
                <w:t xml:space="preserve">L'exécution du budget de l'Union européenne en 2022, dans &amp;quot;Chronique financière</w:t>
              </w:r>
            </w:hyperlink>
          </w:p>
          <w:p>
            <w:pPr/>
            <w:hyperlink r:id="rId11" w:history="1">
              <w:r>
                <w:rPr>
                  <w:color w:val="#410a8c"/>
                  <w:u w:val="single"/>
                </w:rPr>
                <w:t xml:space="preserve">Lukasz Stankiewicz</w:t>
              </w:r>
            </w:hyperlink>
            <w:r>
              <w:rPr/>
              <w:t xml:space="preserve">,</w:t>
            </w:r>
            <w:hyperlink r:id="rId14" w:history="1">
              <w:r>
                <w:rPr>
                  <w:color w:val="#410a8c"/>
                  <w:u w:val="single"/>
                </w:rPr>
                <w:t xml:space="preserve">Aurélie Dort</w:t>
              </w:r>
            </w:hyperlink>
            <w:r>
              <w:rPr/>
              <w:t xml:space="preserve">,</w:t>
            </w:r>
            <w:hyperlink r:id="rId16" w:history="1">
              <w:r>
                <w:rPr>
                  <w:color w:val="#410a8c"/>
                  <w:u w:val="single"/>
                </w:rPr>
                <w:t xml:space="preserve">Messaoud Saoudi</w:t>
              </w:r>
            </w:hyperlink>
            <w:r>
              <w:rPr/>
              <w:t xml:space="preserve">,</w:t>
            </w:r>
            <w:hyperlink r:id="rId8" w:history="1">
              <w:r>
                <w:rPr>
                  <w:color w:val="#410a8c"/>
                  <w:u w:val="single"/>
                </w:rPr>
                <w:t xml:space="preserve">Benjamin Ricou</w:t>
              </w:r>
            </w:hyperlink>
            <w:r>
              <w:rPr/>
              <w:t xml:space="preserve">,</w:t>
            </w:r>
            <w:hyperlink r:id="rId12" w:history="1">
              <w:r>
                <w:rPr>
                  <w:color w:val="#410a8c"/>
                  <w:u w:val="single"/>
                </w:rPr>
                <w:t xml:space="preserve">Christelle Ballandras-Rozet</w:t>
              </w:r>
            </w:hyperlink>
            <w:r>
              <w:rPr/>
              <w:t xml:space="preserve">et al.</w:t>
            </w:r>
          </w:p>
          <w:p>
            <w:pPr/>
            <w:r>
              <w:rPr>
                <w:i w:val="1"/>
                <w:iCs w:val="1"/>
              </w:rPr>
              <w:t xml:space="preserve">Annuaire de droit de l'Union européenne</w:t>
            </w:r>
            <w:r>
              <w:rPr/>
              <w:t xml:space="preserve">, 2024, pp.1003-1029</w:t>
            </w:r>
          </w:p>
          <w:p>
            <w:pPr/>
            <w:r>
              <w:rPr/>
              <w:t xml:space="preserve">Article dans une revue</w:t>
            </w:r>
          </w:p>
          <w:p>
            <w:pPr/>
            <w:hyperlink r:id="rId15" w:history="1">
              <w:r>
                <w:rPr>
                  <w:color w:val="#410a8c"/>
                  <w:u w:val="single"/>
                </w:rPr>
                <w:t xml:space="preserve">hal-03974931v1</w:t>
              </w:r>
            </w:hyperlink>
          </w:p>
        </w:tc>
      </w:tr>
      <w:tr>
        <w:trPr/>
        <w:tc>
          <w:tcPr>
            <w:noWrap/>
          </w:tcPr>
          <w:p>
            <w:pPr>
              <w:spacing w:after="200"/>
            </w:pPr>
            <w:hyperlink r:id="rId17" w:history="1">
              <w:r>
                <w:rPr>
                  <w:color w:val="1e198e"/>
                  <w:b w:val="1"/>
                  <w:bCs w:val="1"/>
                  <w:u w:val="single"/>
                </w:rPr>
                <w:t xml:space="preserve">Droit des procédures fiscales</w:t>
              </w:r>
            </w:hyperlink>
          </w:p>
          <w:p>
            <w:pPr/>
            <w:hyperlink r:id="rId18" w:history="1">
              <w:r>
                <w:rPr>
                  <w:color w:val="#410a8c"/>
                  <w:u w:val="single"/>
                </w:rPr>
                <w:t xml:space="preserve">Aurelien Baudu</w:t>
              </w:r>
            </w:hyperlink>
            <w:r>
              <w:rPr/>
              <w:t xml:space="preserve">,</w:t>
            </w:r>
            <w:hyperlink r:id="rId19" w:history="1">
              <w:r>
                <w:rPr>
                  <w:color w:val="#410a8c"/>
                  <w:u w:val="single"/>
                </w:rPr>
                <w:t xml:space="preserve">Anna Zachayus</w:t>
              </w:r>
            </w:hyperlink>
            <w:r>
              <w:rPr/>
              <w:t xml:space="preserve">,</w:t>
            </w:r>
            <w:hyperlink r:id="rId8" w:history="1">
              <w:r>
                <w:rPr>
                  <w:color w:val="#410a8c"/>
                  <w:u w:val="single"/>
                </w:rPr>
                <w:t xml:space="preserve">Benjamin Ricou</w:t>
              </w:r>
            </w:hyperlink>
            <w:r>
              <w:rPr/>
              <w:t xml:space="preserve">,</w:t>
            </w:r>
            <w:hyperlink r:id="rId20" w:history="1">
              <w:r>
                <w:rPr>
                  <w:color w:val="#410a8c"/>
                  <w:u w:val="single"/>
                </w:rPr>
                <w:t xml:space="preserve">Damien Falco</w:t>
              </w:r>
            </w:hyperlink>
          </w:p>
          <w:p>
            <w:pPr/>
            <w:r>
              <w:rPr>
                <w:i w:val="1"/>
                <w:iCs w:val="1"/>
              </w:rPr>
              <w:t xml:space="preserve">Revue européenne et internationale de droit fiscal</w:t>
            </w:r>
            <w:r>
              <w:rPr/>
              <w:t xml:space="preserve">, 2022, 1, pp.105-132</w:t>
            </w:r>
          </w:p>
          <w:p>
            <w:pPr/>
            <w:r>
              <w:rPr/>
              <w:t xml:space="preserve">Article dans une revue</w:t>
            </w:r>
          </w:p>
          <w:p>
            <w:pPr/>
            <w:hyperlink r:id="rId17" w:history="1">
              <w:r>
                <w:rPr>
                  <w:color w:val="#410a8c"/>
                  <w:u w:val="single"/>
                </w:rPr>
                <w:t xml:space="preserve">hal-03659438v1</w:t>
              </w:r>
            </w:hyperlink>
          </w:p>
        </w:tc>
      </w:tr>
      <w:tr>
        <w:trPr/>
        <w:tc>
          <w:tcPr>
            <w:noWrap/>
          </w:tcPr>
          <w:p>
            <w:pPr>
              <w:spacing w:after="200"/>
            </w:pPr>
            <w:hyperlink r:id="rId21" w:history="1">
              <w:r>
                <w:rPr>
                  <w:color w:val="1e198e"/>
                  <w:b w:val="1"/>
                  <w:bCs w:val="1"/>
                  <w:u w:val="single"/>
                </w:rPr>
                <w:t xml:space="preserve">Droit des procédures fiscales</w:t>
              </w:r>
            </w:hyperlink>
          </w:p>
          <w:p>
            <w:pPr/>
            <w:hyperlink r:id="rId18" w:history="1">
              <w:r>
                <w:rPr>
                  <w:color w:val="#410a8c"/>
                  <w:u w:val="single"/>
                </w:rPr>
                <w:t xml:space="preserve">Aurelien Baudu</w:t>
              </w:r>
            </w:hyperlink>
            <w:r>
              <w:rPr/>
              <w:t xml:space="preserve">,</w:t>
            </w:r>
            <w:hyperlink r:id="rId22" w:history="1">
              <w:r>
                <w:rPr>
                  <w:color w:val="#410a8c"/>
                  <w:u w:val="single"/>
                </w:rPr>
                <w:t xml:space="preserve">David Ytier</w:t>
              </w:r>
            </w:hyperlink>
            <w:r>
              <w:rPr/>
              <w:t xml:space="preserve">,</w:t>
            </w:r>
            <w:hyperlink r:id="rId8" w:history="1">
              <w:r>
                <w:rPr>
                  <w:color w:val="#410a8c"/>
                  <w:u w:val="single"/>
                </w:rPr>
                <w:t xml:space="preserve">Benjamin Ricou</w:t>
              </w:r>
            </w:hyperlink>
            <w:r>
              <w:rPr/>
              <w:t xml:space="preserve">,</w:t>
            </w:r>
            <w:hyperlink r:id="rId20" w:history="1">
              <w:r>
                <w:rPr>
                  <w:color w:val="#410a8c"/>
                  <w:u w:val="single"/>
                </w:rPr>
                <w:t xml:space="preserve">Damien Falco</w:t>
              </w:r>
            </w:hyperlink>
          </w:p>
          <w:p>
            <w:pPr/>
            <w:r>
              <w:rPr>
                <w:i w:val="1"/>
                <w:iCs w:val="1"/>
              </w:rPr>
              <w:t xml:space="preserve">Revue européenne et internationale de droit fiscal</w:t>
            </w:r>
            <w:r>
              <w:rPr/>
              <w:t xml:space="preserve">, 2021, 1, pp.137-161</w:t>
            </w:r>
          </w:p>
          <w:p>
            <w:pPr/>
            <w:r>
              <w:rPr/>
              <w:t xml:space="preserve">Article dans une revue</w:t>
            </w:r>
          </w:p>
          <w:p>
            <w:pPr/>
            <w:hyperlink r:id="rId21" w:history="1">
              <w:r>
                <w:rPr>
                  <w:color w:val="#410a8c"/>
                  <w:u w:val="single"/>
                </w:rPr>
                <w:t xml:space="preserve">hal-03208119v1</w:t>
              </w:r>
            </w:hyperlink>
          </w:p>
        </w:tc>
      </w:tr>
      <w:tr>
        <w:trPr/>
        <w:tc>
          <w:tcPr>
            <w:noWrap/>
          </w:tcPr>
          <w:p>
            <w:pPr>
              <w:spacing w:after="200"/>
            </w:pPr>
            <w:hyperlink r:id="rId23" w:history="1">
              <w:r>
                <w:rPr>
                  <w:color w:val="1e198e"/>
                  <w:b w:val="1"/>
                  <w:bCs w:val="1"/>
                  <w:u w:val="single"/>
                </w:rPr>
                <w:t xml:space="preserve">La protection du budget de l’Union européenne par l’instauration d’un régime général de conditionnalité de versement des fonds européens au respect de l’État de droit (règlement 2020/2092 du 16 décembre 2020)</w:t>
              </w:r>
            </w:hyperlink>
          </w:p>
          <w:p>
            <w:pPr/>
            <w:hyperlink r:id="rId8" w:history="1">
              <w:r>
                <w:rPr>
                  <w:color w:val="#410a8c"/>
                  <w:u w:val="single"/>
                </w:rPr>
                <w:t xml:space="preserve">Benjamin Ricou</w:t>
              </w:r>
            </w:hyperlink>
          </w:p>
          <w:p>
            <w:pPr/>
            <w:r>
              <w:rPr>
                <w:i w:val="1"/>
                <w:iCs w:val="1"/>
              </w:rPr>
              <w:t xml:space="preserve">Revue du droit de l'Union européenne</w:t>
            </w:r>
            <w:r>
              <w:rPr/>
              <w:t xml:space="preserve">, 2021</w:t>
            </w:r>
          </w:p>
          <w:p>
            <w:pPr/>
            <w:r>
              <w:rPr/>
              <w:t xml:space="preserve">Article dans une revue</w:t>
            </w:r>
          </w:p>
          <w:p>
            <w:pPr/>
            <w:hyperlink r:id="rId23" w:history="1">
              <w:r>
                <w:rPr>
                  <w:color w:val="#410a8c"/>
                  <w:u w:val="single"/>
                </w:rPr>
                <w:t xml:space="preserve">hal-04159589v1</w:t>
              </w:r>
            </w:hyperlink>
          </w:p>
        </w:tc>
      </w:tr>
      <w:tr>
        <w:trPr/>
        <w:tc>
          <w:tcPr>
            <w:noWrap/>
          </w:tcPr>
          <w:p>
            <w:pPr>
              <w:spacing w:after="200"/>
            </w:pPr>
            <w:hyperlink r:id="rId24" w:history="1">
              <w:r>
                <w:rPr>
                  <w:color w:val="1e198e"/>
                  <w:b w:val="1"/>
                  <w:bCs w:val="1"/>
                  <w:u w:val="single"/>
                </w:rPr>
                <w:t xml:space="preserve">L'exécution du budget de l'Union européenne en 2020</w:t>
              </w:r>
            </w:hyperlink>
          </w:p>
          <w:p>
            <w:pPr/>
            <w:hyperlink r:id="rId11" w:history="1">
              <w:r>
                <w:rPr>
                  <w:color w:val="#410a8c"/>
                  <w:u w:val="single"/>
                </w:rPr>
                <w:t xml:space="preserve">Lukasz Stankiewicz</w:t>
              </w:r>
            </w:hyperlink>
            <w:r>
              <w:rPr/>
              <w:t xml:space="preserve">,</w:t>
            </w:r>
            <w:hyperlink r:id="rId14" w:history="1">
              <w:r>
                <w:rPr>
                  <w:color w:val="#410a8c"/>
                  <w:u w:val="single"/>
                </w:rPr>
                <w:t xml:space="preserve">Aurélie Dort</w:t>
              </w:r>
            </w:hyperlink>
            <w:r>
              <w:rPr/>
              <w:t xml:space="preserve">,</w:t>
            </w:r>
            <w:hyperlink r:id="rId16" w:history="1">
              <w:r>
                <w:rPr>
                  <w:color w:val="#410a8c"/>
                  <w:u w:val="single"/>
                </w:rPr>
                <w:t xml:space="preserve">Messaoud Saoudi</w:t>
              </w:r>
            </w:hyperlink>
            <w:r>
              <w:rPr/>
              <w:t xml:space="preserve">,</w:t>
            </w:r>
            <w:hyperlink r:id="rId8" w:history="1">
              <w:r>
                <w:rPr>
                  <w:color w:val="#410a8c"/>
                  <w:u w:val="single"/>
                </w:rPr>
                <w:t xml:space="preserve">Benjamin Ricou</w:t>
              </w:r>
            </w:hyperlink>
            <w:r>
              <w:rPr/>
              <w:t xml:space="preserve">,</w:t>
            </w:r>
            <w:hyperlink r:id="rId12" w:history="1">
              <w:r>
                <w:rPr>
                  <w:color w:val="#410a8c"/>
                  <w:u w:val="single"/>
                </w:rPr>
                <w:t xml:space="preserve">Christelle Ballandras-Rozet</w:t>
              </w:r>
            </w:hyperlink>
            <w:r>
              <w:rPr/>
              <w:t xml:space="preserve">et al.</w:t>
            </w:r>
          </w:p>
          <w:p>
            <w:pPr/>
            <w:r>
              <w:rPr>
                <w:i w:val="1"/>
                <w:iCs w:val="1"/>
              </w:rPr>
              <w:t xml:space="preserve">Annuaire de droit de l'Union européenne</w:t>
            </w:r>
            <w:r>
              <w:rPr/>
              <w:t xml:space="preserve">, 2020, Chronique financière, pp.1101-1142</w:t>
            </w:r>
          </w:p>
          <w:p>
            <w:pPr/>
            <w:r>
              <w:rPr/>
              <w:t xml:space="preserve">Article dans une revue</w:t>
            </w:r>
          </w:p>
          <w:p>
            <w:pPr/>
            <w:hyperlink r:id="rId24" w:history="1">
              <w:r>
                <w:rPr>
                  <w:color w:val="#410a8c"/>
                  <w:u w:val="single"/>
                </w:rPr>
                <w:t xml:space="preserve">hal-03539853v1</w:t>
              </w:r>
            </w:hyperlink>
          </w:p>
        </w:tc>
      </w:tr>
      <w:tr>
        <w:trPr/>
        <w:tc>
          <w:tcPr>
            <w:noWrap/>
          </w:tcPr>
          <w:p>
            <w:pPr>
              <w:spacing w:after="200"/>
            </w:pPr>
            <w:hyperlink r:id="rId25"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2020</w:t>
            </w:r>
          </w:p>
          <w:p>
            <w:pPr/>
            <w:r>
              <w:rPr/>
              <w:t xml:space="preserve">Article dans une revue</w:t>
            </w:r>
          </w:p>
          <w:p>
            <w:pPr/>
            <w:hyperlink r:id="rId25" w:history="1">
              <w:r>
                <w:rPr>
                  <w:color w:val="#410a8c"/>
                  <w:u w:val="single"/>
                </w:rPr>
                <w:t xml:space="preserve">hal-04159584v1</w:t>
              </w:r>
            </w:hyperlink>
          </w:p>
        </w:tc>
      </w:tr>
      <w:tr>
        <w:trPr/>
        <w:tc>
          <w:tcPr>
            <w:noWrap/>
          </w:tcPr>
          <w:p>
            <w:pPr>
              <w:spacing w:after="200"/>
            </w:pPr>
            <w:hyperlink r:id="rId26" w:history="1">
              <w:r>
                <w:rPr>
                  <w:color w:val="1e198e"/>
                  <w:b w:val="1"/>
                  <w:bCs w:val="1"/>
                  <w:u w:val="single"/>
                </w:rPr>
                <w:t xml:space="preserve">« Chronique jurisprudentielle annuelle de procédures fiscales », Revue européenne et internationale de droit fiscal 2020, n° 1, p. 145.</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2020</w:t>
            </w:r>
          </w:p>
          <w:p>
            <w:pPr/>
            <w:r>
              <w:rPr/>
              <w:t xml:space="preserve">Article dans une revue</w:t>
            </w:r>
          </w:p>
          <w:p>
            <w:pPr/>
            <w:hyperlink r:id="rId26" w:history="1">
              <w:r>
                <w:rPr>
                  <w:color w:val="#410a8c"/>
                  <w:u w:val="single"/>
                </w:rPr>
                <w:t xml:space="preserve">hal-03349051v1</w:t>
              </w:r>
            </w:hyperlink>
          </w:p>
        </w:tc>
      </w:tr>
      <w:tr>
        <w:trPr/>
        <w:tc>
          <w:tcPr>
            <w:noWrap/>
          </w:tcPr>
          <w:p>
            <w:pPr>
              <w:spacing w:after="200"/>
            </w:pPr>
            <w:hyperlink r:id="rId27" w:history="1">
              <w:r>
                <w:rPr>
                  <w:color w:val="1e198e"/>
                  <w:b w:val="1"/>
                  <w:bCs w:val="1"/>
                  <w:u w:val="single"/>
                </w:rPr>
                <w:t xml:space="preserve">Vade-mecum de la chambre criminelle de la Cour de cassation pour la mise en œuvre des réserves d’interprétation formulées par le Conseil constitutionnel à propos du cumul des procédures et des sanctions pénales et fiscales, Lexbase novembre 2019.</w:t>
              </w:r>
            </w:hyperlink>
          </w:p>
          <w:p>
            <w:pPr/>
            <w:hyperlink r:id="rId8" w:history="1">
              <w:r>
                <w:rPr>
                  <w:color w:val="#410a8c"/>
                  <w:u w:val="single"/>
                </w:rPr>
                <w:t xml:space="preserve">Benjamin Ricou</w:t>
              </w:r>
            </w:hyperlink>
          </w:p>
          <w:p>
            <w:pPr/>
            <w:r>
              <w:rPr>
                <w:i w:val="1"/>
                <w:iCs w:val="1"/>
              </w:rPr>
              <w:t xml:space="preserve">Lexbase Hebdo</w:t>
            </w:r>
            <w:r>
              <w:rPr/>
              <w:t xml:space="preserve">, 2019</w:t>
            </w:r>
          </w:p>
          <w:p>
            <w:pPr/>
            <w:r>
              <w:rPr/>
              <w:t xml:space="preserve">Article dans une revue</w:t>
            </w:r>
          </w:p>
          <w:p>
            <w:pPr/>
            <w:hyperlink r:id="rId27" w:history="1">
              <w:r>
                <w:rPr>
                  <w:color w:val="#410a8c"/>
                  <w:u w:val="single"/>
                </w:rPr>
                <w:t xml:space="preserve">hal-03349053v1</w:t>
              </w:r>
            </w:hyperlink>
          </w:p>
        </w:tc>
      </w:tr>
      <w:tr>
        <w:trPr/>
        <w:tc>
          <w:tcPr>
            <w:noWrap/>
          </w:tcPr>
          <w:p>
            <w:pPr>
              <w:spacing w:after="200"/>
            </w:pPr>
            <w:hyperlink r:id="rId28" w:history="1">
              <w:r>
                <w:rPr>
                  <w:color w:val="1e198e"/>
                  <w:b w:val="1"/>
                  <w:bCs w:val="1"/>
                  <w:u w:val="single"/>
                </w:rPr>
                <w:t xml:space="preserve">« Chronique jurisprudentielle annuelle de procédures fiscales », Revue européenne et internationale de droit fiscal 2019, n° 1, pp. 104-114</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2019</w:t>
            </w:r>
          </w:p>
          <w:p>
            <w:pPr/>
            <w:r>
              <w:rPr/>
              <w:t xml:space="preserve">Article dans une revue</w:t>
            </w:r>
          </w:p>
          <w:p>
            <w:pPr/>
            <w:hyperlink r:id="rId28" w:history="1">
              <w:r>
                <w:rPr>
                  <w:color w:val="#410a8c"/>
                  <w:u w:val="single"/>
                </w:rPr>
                <w:t xml:space="preserve">hal-03349056v1</w:t>
              </w:r>
            </w:hyperlink>
          </w:p>
        </w:tc>
      </w:tr>
      <w:tr>
        <w:trPr/>
        <w:tc>
          <w:tcPr>
            <w:noWrap/>
          </w:tcPr>
          <w:p>
            <w:pPr>
              <w:spacing w:after="200"/>
            </w:pPr>
            <w:hyperlink r:id="rId29" w:history="1">
              <w:r>
                <w:rPr>
                  <w:color w:val="1e198e"/>
                  <w:b w:val="1"/>
                  <w:bCs w:val="1"/>
                  <w:u w:val="single"/>
                </w:rPr>
                <w:t xml:space="preserve">« Actualité du cumul de sanctions pénales et fiscales. Des divergences aux convergences », Lexbase février 2019</w:t>
              </w:r>
            </w:hyperlink>
          </w:p>
          <w:p>
            <w:pPr/>
            <w:hyperlink r:id="rId8" w:history="1">
              <w:r>
                <w:rPr>
                  <w:color w:val="#410a8c"/>
                  <w:u w:val="single"/>
                </w:rPr>
                <w:t xml:space="preserve">Benjamin Ricou</w:t>
              </w:r>
            </w:hyperlink>
          </w:p>
          <w:p>
            <w:pPr/>
            <w:r>
              <w:rPr>
                <w:i w:val="1"/>
                <w:iCs w:val="1"/>
              </w:rPr>
              <w:t xml:space="preserve">Lexbase Hebdo</w:t>
            </w:r>
            <w:r>
              <w:rPr/>
              <w:t xml:space="preserve">, 2019</w:t>
            </w:r>
          </w:p>
          <w:p>
            <w:pPr/>
            <w:r>
              <w:rPr/>
              <w:t xml:space="preserve">Article dans une revue</w:t>
            </w:r>
          </w:p>
          <w:p>
            <w:pPr/>
            <w:hyperlink r:id="rId29" w:history="1">
              <w:r>
                <w:rPr>
                  <w:color w:val="#410a8c"/>
                  <w:u w:val="single"/>
                </w:rPr>
                <w:t xml:space="preserve">hal-03349058v1</w:t>
              </w:r>
            </w:hyperlink>
          </w:p>
        </w:tc>
      </w:tr>
      <w:tr>
        <w:trPr/>
        <w:tc>
          <w:tcPr>
            <w:noWrap/>
          </w:tcPr>
          <w:p>
            <w:pPr>
              <w:spacing w:after="200"/>
            </w:pPr>
            <w:hyperlink r:id="rId30" w:history="1">
              <w:r>
                <w:rPr>
                  <w:color w:val="1e198e"/>
                  <w:b w:val="1"/>
                  <w:bCs w:val="1"/>
                  <w:u w:val="single"/>
                </w:rPr>
                <w:t xml:space="preserve">« Chronique jurisprudentielle annuelle de procédures fiscales », Revue européenne et internationale de droit fiscal 2018, n° 1, pp. 138-147.</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2018</w:t>
            </w:r>
          </w:p>
          <w:p>
            <w:pPr/>
            <w:r>
              <w:rPr/>
              <w:t xml:space="preserve">Article dans une revue</w:t>
            </w:r>
          </w:p>
          <w:p>
            <w:pPr/>
            <w:hyperlink r:id="rId30" w:history="1">
              <w:r>
                <w:rPr>
                  <w:color w:val="#410a8c"/>
                  <w:u w:val="single"/>
                </w:rPr>
                <w:t xml:space="preserve">hal-03349059v1</w:t>
              </w:r>
            </w:hyperlink>
          </w:p>
        </w:tc>
      </w:tr>
      <w:tr>
        <w:trPr/>
        <w:tc>
          <w:tcPr>
            <w:noWrap/>
          </w:tcPr>
          <w:p>
            <w:pPr>
              <w:spacing w:after="200"/>
            </w:pPr>
            <w:hyperlink r:id="rId31" w:history="1">
              <w:r>
                <w:rPr>
                  <w:color w:val="1e198e"/>
                  <w:b w:val="1"/>
                  <w:bCs w:val="1"/>
                  <w:u w:val="single"/>
                </w:rPr>
                <w:t xml:space="preserve">« Des difficultés des tiers à contester des opérations de visite et de saisie au regard de la Convention européenne des droits de l’Homme », note sous C.E.D.H., aff. nos 65883/14, 21434/15, 48044/15 et 51477/15 du 3 juillet 2018, Gohe, Cornelissen, Parent et Guedj c. France, Lexbase octobre 2018</w:t>
              </w:r>
            </w:hyperlink>
          </w:p>
          <w:p>
            <w:pPr/>
            <w:hyperlink r:id="rId8" w:history="1">
              <w:r>
                <w:rPr>
                  <w:color w:val="#410a8c"/>
                  <w:u w:val="single"/>
                </w:rPr>
                <w:t xml:space="preserve">Benjamin Ricou</w:t>
              </w:r>
            </w:hyperlink>
          </w:p>
          <w:p>
            <w:pPr/>
            <w:r>
              <w:rPr>
                <w:i w:val="1"/>
                <w:iCs w:val="1"/>
              </w:rPr>
              <w:t xml:space="preserve">Lexbase Hebdo</w:t>
            </w:r>
            <w:r>
              <w:rPr/>
              <w:t xml:space="preserve">, 2018</w:t>
            </w:r>
          </w:p>
          <w:p>
            <w:pPr/>
            <w:r>
              <w:rPr/>
              <w:t xml:space="preserve">Article dans une revue</w:t>
            </w:r>
          </w:p>
          <w:p>
            <w:pPr/>
            <w:hyperlink r:id="rId31" w:history="1">
              <w:r>
                <w:rPr>
                  <w:color w:val="#410a8c"/>
                  <w:u w:val="single"/>
                </w:rPr>
                <w:t xml:space="preserve">hal-03349063v1</w:t>
              </w:r>
            </w:hyperlink>
          </w:p>
        </w:tc>
      </w:tr>
      <w:tr>
        <w:trPr/>
        <w:tc>
          <w:tcPr>
            <w:noWrap/>
          </w:tcPr>
          <w:p>
            <w:pPr>
              <w:spacing w:after="200"/>
            </w:pPr>
            <w:hyperlink r:id="rId32" w:history="1">
              <w:r>
                <w:rPr>
                  <w:color w:val="1e198e"/>
                  <w:b w:val="1"/>
                  <w:bCs w:val="1"/>
                  <w:u w:val="single"/>
                </w:rPr>
                <w:t xml:space="preserve">« La recevabilité des moyens tirés de l’insuffisance des présomptions de fraude dans le cadre de la contestation par un tiers de l’ordonnance d’autorisation d’une visite domiciliaire », note sous Cass. com., arrêt n° 656 du 27 juin 2018, M. Guillaume X… et autres, n° 16-27.561, Lexbase juillet 2018</w:t>
              </w:r>
            </w:hyperlink>
          </w:p>
          <w:p>
            <w:pPr/>
            <w:hyperlink r:id="rId8" w:history="1">
              <w:r>
                <w:rPr>
                  <w:color w:val="#410a8c"/>
                  <w:u w:val="single"/>
                </w:rPr>
                <w:t xml:space="preserve">Benjamin Ricou</w:t>
              </w:r>
            </w:hyperlink>
          </w:p>
          <w:p>
            <w:pPr/>
            <w:r>
              <w:rPr>
                <w:i w:val="1"/>
                <w:iCs w:val="1"/>
              </w:rPr>
              <w:t xml:space="preserve">Lexbase Hebdo</w:t>
            </w:r>
            <w:r>
              <w:rPr/>
              <w:t xml:space="preserve">, 2018</w:t>
            </w:r>
          </w:p>
          <w:p>
            <w:pPr/>
            <w:r>
              <w:rPr/>
              <w:t xml:space="preserve">Article dans une revue</w:t>
            </w:r>
          </w:p>
          <w:p>
            <w:pPr/>
            <w:hyperlink r:id="rId32" w:history="1">
              <w:r>
                <w:rPr>
                  <w:color w:val="#410a8c"/>
                  <w:u w:val="single"/>
                </w:rPr>
                <w:t xml:space="preserve">hal-03349064v1</w:t>
              </w:r>
            </w:hyperlink>
          </w:p>
        </w:tc>
      </w:tr>
      <w:tr>
        <w:trPr/>
        <w:tc>
          <w:tcPr>
            <w:noWrap/>
          </w:tcPr>
          <w:p>
            <w:pPr>
              <w:spacing w:after="200"/>
            </w:pPr>
            <w:hyperlink r:id="rId33" w:history="1">
              <w:r>
                <w:rPr>
                  <w:color w:val="1e198e"/>
                  <w:b w:val="1"/>
                  <w:bCs w:val="1"/>
                  <w:u w:val="single"/>
                </w:rPr>
                <w:t xml:space="preserve">« Le silence au service de la production juridictionnelle du droit. Méthodes et politiques des juridictions ordinaires françaises », Les Cahiers de Droit décembre 2015, numéro spécial « Le silence et le droit », pp. 677-706</w:t>
              </w:r>
            </w:hyperlink>
          </w:p>
          <w:p>
            <w:pPr/>
            <w:hyperlink r:id="rId8" w:history="1">
              <w:r>
                <w:rPr>
                  <w:color w:val="#410a8c"/>
                  <w:u w:val="single"/>
                </w:rPr>
                <w:t xml:space="preserve">Benjamin Ricou</w:t>
              </w:r>
            </w:hyperlink>
          </w:p>
          <w:p>
            <w:pPr/>
            <w:r>
              <w:rPr>
                <w:i w:val="1"/>
                <w:iCs w:val="1"/>
              </w:rPr>
              <w:t xml:space="preserve">Les Cahiers de droit</w:t>
            </w:r>
            <w:r>
              <w:rPr/>
              <w:t xml:space="preserve">, 2015</w:t>
            </w:r>
          </w:p>
          <w:p>
            <w:pPr/>
            <w:r>
              <w:rPr/>
              <w:t xml:space="preserve">Article dans une revue</w:t>
            </w:r>
          </w:p>
          <w:p>
            <w:pPr/>
            <w:hyperlink r:id="rId33" w:history="1">
              <w:r>
                <w:rPr>
                  <w:color w:val="#410a8c"/>
                  <w:u w:val="single"/>
                </w:rPr>
                <w:t xml:space="preserve">hal-03349019v1</w:t>
              </w:r>
            </w:hyperlink>
          </w:p>
        </w:tc>
      </w:tr>
      <w:tr>
        <w:trPr/>
        <w:tc>
          <w:tcPr>
            <w:noWrap/>
          </w:tcPr>
          <w:p>
            <w:pPr>
              <w:spacing w:after="200"/>
            </w:pPr>
            <w:hyperlink r:id="rId34" w:history="1">
              <w:r>
                <w:rPr>
                  <w:color w:val="1e198e"/>
                  <w:b w:val="1"/>
                  <w:bCs w:val="1"/>
                  <w:u w:val="single"/>
                </w:rPr>
                <w:t xml:space="preserve">« La jurisprudence Société entreprise Peyrot mise au garage », Lexbase 26 mars 2015, n° 367, p. 1</w:t>
              </w:r>
            </w:hyperlink>
          </w:p>
          <w:p>
            <w:pPr/>
            <w:hyperlink r:id="rId8" w:history="1">
              <w:r>
                <w:rPr>
                  <w:color w:val="#410a8c"/>
                  <w:u w:val="single"/>
                </w:rPr>
                <w:t xml:space="preserve">Benjamin Ricou</w:t>
              </w:r>
            </w:hyperlink>
          </w:p>
          <w:p>
            <w:pPr/>
            <w:r>
              <w:rPr>
                <w:i w:val="1"/>
                <w:iCs w:val="1"/>
              </w:rPr>
              <w:t xml:space="preserve">Lexbase Hebdo</w:t>
            </w:r>
            <w:r>
              <w:rPr/>
              <w:t xml:space="preserve">, 2015</w:t>
            </w:r>
          </w:p>
          <w:p>
            <w:pPr/>
            <w:r>
              <w:rPr/>
              <w:t xml:space="preserve">Article dans une revue</w:t>
            </w:r>
          </w:p>
          <w:p>
            <w:pPr/>
            <w:hyperlink r:id="rId34" w:history="1">
              <w:r>
                <w:rPr>
                  <w:color w:val="#410a8c"/>
                  <w:u w:val="single"/>
                </w:rPr>
                <w:t xml:space="preserve">hal-03349066v1</w:t>
              </w:r>
            </w:hyperlink>
          </w:p>
        </w:tc>
      </w:tr>
      <w:tr>
        <w:trPr/>
        <w:tc>
          <w:tcPr>
            <w:noWrap/>
          </w:tcPr>
          <w:p>
            <w:pPr>
              <w:spacing w:after="200"/>
            </w:pPr>
            <w:hyperlink r:id="rId35" w:history="1">
              <w:r>
                <w:rPr>
                  <w:color w:val="1e198e"/>
                  <w:b w:val="1"/>
                  <w:bCs w:val="1"/>
                  <w:u w:val="single"/>
                </w:rPr>
                <w:t xml:space="preserve">« Réparation intégrale des préjudices consécutifs à une faute commise par l’administration fiscale », chron. sous CE, 12 mars 2014 (req. n° 359643), J.C.P. Administrations et Collectivités territoriales 31 mars 2014, act. 291</w:t>
              </w:r>
            </w:hyperlink>
          </w:p>
          <w:p>
            <w:pPr/>
            <w:hyperlink r:id="rId8" w:history="1">
              <w:r>
                <w:rPr>
                  <w:color w:val="#410a8c"/>
                  <w:u w:val="single"/>
                </w:rPr>
                <w:t xml:space="preserve">Benjamin Ricou</w:t>
              </w:r>
            </w:hyperlink>
          </w:p>
          <w:p>
            <w:pPr/>
            <w:r>
              <w:rPr>
                <w:i w:val="1"/>
                <w:iCs w:val="1"/>
              </w:rPr>
              <w:t xml:space="preserve">La Semaine Juridique. Administrations et collectivités territoriales</w:t>
            </w:r>
            <w:r>
              <w:rPr/>
              <w:t xml:space="preserve">, 2014</w:t>
            </w:r>
          </w:p>
          <w:p>
            <w:pPr/>
            <w:r>
              <w:rPr/>
              <w:t xml:space="preserve">Article dans une revue</w:t>
            </w:r>
          </w:p>
          <w:p>
            <w:pPr/>
            <w:hyperlink r:id="rId35" w:history="1">
              <w:r>
                <w:rPr>
                  <w:color w:val="#410a8c"/>
                  <w:u w:val="single"/>
                </w:rPr>
                <w:t xml:space="preserve">hal-03349069v1</w:t>
              </w:r>
            </w:hyperlink>
          </w:p>
        </w:tc>
      </w:tr>
      <w:tr>
        <w:trPr/>
        <w:tc>
          <w:tcPr>
            <w:noWrap/>
          </w:tcPr>
          <w:p>
            <w:pPr>
              <w:spacing w:after="200"/>
            </w:pPr>
            <w:hyperlink r:id="rId36" w:history="1">
              <w:r>
                <w:rPr>
                  <w:color w:val="1e198e"/>
                  <w:b w:val="1"/>
                  <w:bCs w:val="1"/>
                  <w:u w:val="single"/>
                </w:rPr>
                <w:t xml:space="preserve">« Prérogatives de puissance publique, E.P.I.C. et responsabilité de l’O.N.F. », chron. Sous CE, 31 mai 2013 (req. nos 346876 et 346945), J.C.P. Administrations et Collectivités territoriales 10 juin 2013, act. 497</w:t>
              </w:r>
            </w:hyperlink>
          </w:p>
          <w:p>
            <w:pPr/>
            <w:hyperlink r:id="rId8" w:history="1">
              <w:r>
                <w:rPr>
                  <w:color w:val="#410a8c"/>
                  <w:u w:val="single"/>
                </w:rPr>
                <w:t xml:space="preserve">Benjamin Ricou</w:t>
              </w:r>
            </w:hyperlink>
          </w:p>
          <w:p>
            <w:pPr/>
            <w:r>
              <w:rPr>
                <w:i w:val="1"/>
                <w:iCs w:val="1"/>
              </w:rPr>
              <w:t xml:space="preserve">La Semaine Juridique. Administrations et collectivités territoriales</w:t>
            </w:r>
            <w:r>
              <w:rPr/>
              <w:t xml:space="preserve">, 2013</w:t>
            </w:r>
          </w:p>
          <w:p>
            <w:pPr/>
            <w:r>
              <w:rPr/>
              <w:t xml:space="preserve">Article dans une revue</w:t>
            </w:r>
          </w:p>
          <w:p>
            <w:pPr/>
            <w:hyperlink r:id="rId36" w:history="1">
              <w:r>
                <w:rPr>
                  <w:color w:val="#410a8c"/>
                  <w:u w:val="single"/>
                </w:rPr>
                <w:t xml:space="preserve">hal-03349074v1</w:t>
              </w:r>
            </w:hyperlink>
          </w:p>
        </w:tc>
      </w:tr>
      <w:tr>
        <w:trPr/>
        <w:tc>
          <w:tcPr>
            <w:noWrap/>
          </w:tcPr>
          <w:p>
            <w:pPr>
              <w:spacing w:after="200"/>
            </w:pPr>
            <w:hyperlink r:id="rId37" w:history="1">
              <w:r>
                <w:rPr>
                  <w:color w:val="1e198e"/>
                  <w:b w:val="1"/>
                  <w:bCs w:val="1"/>
                  <w:u w:val="single"/>
                </w:rPr>
                <w:t xml:space="preserve">« Le tribunal des conflits, juge de la conventionnalité des lois. A propos de la décision du tribunal des conflits du 13 décembre 2010, SNC Green Yellow, n° 3800 », J.C.P. G. juillet 2011, n° 28, pp. 1379-1382</w:t>
              </w:r>
            </w:hyperlink>
          </w:p>
          <w:p>
            <w:pPr/>
            <w:hyperlink r:id="rId8" w:history="1">
              <w:r>
                <w:rPr>
                  <w:color w:val="#410a8c"/>
                  <w:u w:val="single"/>
                </w:rPr>
                <w:t xml:space="preserve">Benjamin Ricou</w:t>
              </w:r>
            </w:hyperlink>
          </w:p>
          <w:p>
            <w:pPr/>
            <w:r>
              <w:rPr>
                <w:i w:val="1"/>
                <w:iCs w:val="1"/>
              </w:rPr>
              <w:t xml:space="preserve">La Semaine juridique. Édition générale</w:t>
            </w:r>
            <w:r>
              <w:rPr/>
              <w:t xml:space="preserve">, 2011</w:t>
            </w:r>
          </w:p>
          <w:p>
            <w:pPr/>
            <w:r>
              <w:rPr/>
              <w:t xml:space="preserve">Article dans une revue</w:t>
            </w:r>
          </w:p>
          <w:p>
            <w:pPr/>
            <w:hyperlink r:id="rId37" w:history="1">
              <w:r>
                <w:rPr>
                  <w:color w:val="#410a8c"/>
                  <w:u w:val="single"/>
                </w:rPr>
                <w:t xml:space="preserve">hal-03349077v1</w:t>
              </w:r>
            </w:hyperlink>
          </w:p>
        </w:tc>
      </w:tr>
      <w:tr>
        <w:trPr/>
        <w:tc>
          <w:tcPr>
            <w:noWrap/>
          </w:tcPr>
          <w:p>
            <w:pPr>
              <w:spacing w:after="200"/>
            </w:pPr>
            <w:hyperlink r:id="rId38" w:history="1">
              <w:r>
                <w:rPr>
                  <w:color w:val="1e198e"/>
                  <w:b w:val="1"/>
                  <w:bCs w:val="1"/>
                  <w:u w:val="single"/>
                </w:rPr>
                <w:t xml:space="preserve">« L’attribution des licences de téléphonie mobile de troisième génération. Chronique d’une révolution mal programmée », R.F.D.A. mai-juin 2011, numéro 3, pp. 539-549</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2011</w:t>
            </w:r>
          </w:p>
          <w:p>
            <w:pPr/>
            <w:r>
              <w:rPr/>
              <w:t xml:space="preserve">Article dans une revue</w:t>
            </w:r>
          </w:p>
          <w:p>
            <w:pPr/>
            <w:hyperlink r:id="rId38" w:history="1">
              <w:r>
                <w:rPr>
                  <w:color w:val="#410a8c"/>
                  <w:u w:val="single"/>
                </w:rPr>
                <w:t xml:space="preserve">hal-03349031v1</w:t>
              </w:r>
            </w:hyperlink>
          </w:p>
        </w:tc>
      </w:tr>
      <w:tr>
        <w:trPr/>
        <w:tc>
          <w:tcPr>
            <w:noWrap/>
          </w:tcPr>
          <w:p>
            <w:pPr>
              <w:spacing w:after="200"/>
            </w:pPr>
            <w:hyperlink r:id="rId39" w:history="1">
              <w:r>
                <w:rPr>
                  <w:color w:val="1e198e"/>
                  <w:b w:val="1"/>
                  <w:bCs w:val="1"/>
                  <w:u w:val="single"/>
                </w:rPr>
                <w:t xml:space="preserve">L'attribution des licences de téléphonie mobile de troisième génération</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2011, 03, pp.539</w:t>
            </w:r>
          </w:p>
          <w:p>
            <w:pPr/>
            <w:r>
              <w:rPr/>
              <w:t xml:space="preserve">Article dans une revue</w:t>
            </w:r>
          </w:p>
          <w:p>
            <w:pPr/>
            <w:hyperlink r:id="rId39" w:history="1">
              <w:r>
                <w:rPr>
                  <w:color w:val="#410a8c"/>
                  <w:u w:val="single"/>
                </w:rPr>
                <w:t xml:space="preserve">halshs-02243173v1</w:t>
              </w:r>
            </w:hyperlink>
          </w:p>
        </w:tc>
      </w:tr>
      <w:tr>
        <w:trPr/>
        <w:tc>
          <w:tcPr>
            <w:noWrap/>
          </w:tcPr>
          <w:p>
            <w:pPr>
              <w:spacing w:after="200"/>
            </w:pPr>
            <w:hyperlink r:id="rId40" w:history="1">
              <w:r>
                <w:rPr>
                  <w:color w:val="1e198e"/>
                  <w:b w:val="1"/>
                  <w:bCs w:val="1"/>
                  <w:u w:val="single"/>
                </w:rPr>
                <w:t xml:space="preserve">« Le droit du sport devant le Conseil constitutionnel », R.F.D.A. mai-juin 2009, numéro 3, pp. 567-579. Avant-propos par Guy CANIVET, même Revue, pp. 565-566</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2009</w:t>
            </w:r>
          </w:p>
          <w:p>
            <w:pPr/>
            <w:r>
              <w:rPr/>
              <w:t xml:space="preserve">Article dans une revue</w:t>
            </w:r>
          </w:p>
          <w:p>
            <w:pPr/>
            <w:hyperlink r:id="rId40" w:history="1">
              <w:r>
                <w:rPr>
                  <w:color w:val="#410a8c"/>
                  <w:u w:val="single"/>
                </w:rPr>
                <w:t xml:space="preserve">hal-03349038v1</w:t>
              </w:r>
            </w:hyperlink>
          </w:p>
        </w:tc>
      </w:tr>
      <w:tr>
        <w:trPr/>
        <w:tc>
          <w:tcPr>
            <w:noWrap/>
          </w:tcPr>
          <w:p>
            <w:pPr>
              <w:spacing w:after="200"/>
            </w:pPr>
            <w:hyperlink r:id="rId41" w:history="1">
              <w:r>
                <w:rPr>
                  <w:color w:val="1e198e"/>
                  <w:b w:val="1"/>
                  <w:bCs w:val="1"/>
                  <w:u w:val="single"/>
                </w:rPr>
                <w:t xml:space="preserve">Le droit du sport devant le Conseil constitutionnel</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2009, 03, pp.567</w:t>
            </w:r>
          </w:p>
          <w:p>
            <w:pPr/>
            <w:r>
              <w:rPr/>
              <w:t xml:space="preserve">Article dans une revue</w:t>
            </w:r>
          </w:p>
          <w:p>
            <w:pPr/>
            <w:hyperlink r:id="rId41" w:history="1">
              <w:r>
                <w:rPr>
                  <w:color w:val="#410a8c"/>
                  <w:u w:val="single"/>
                </w:rPr>
                <w:t xml:space="preserve">halshs-02243051v1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Droit des procédures fiscales, Paris, Ellipses, coll. « 100% droit », 512 p.</w:t>
              </w:r>
            </w:hyperlink>
          </w:p>
          <w:p>
            <w:pPr/>
            <w:hyperlink r:id="rId8" w:history="1">
              <w:r>
                <w:rPr>
                  <w:color w:val="#410a8c"/>
                  <w:u w:val="single"/>
                </w:rPr>
                <w:t xml:space="preserve">Benjamin Ricou</w:t>
              </w:r>
            </w:hyperlink>
          </w:p>
          <w:p>
            <w:pPr/>
            <w:r>
              <w:rPr/>
              <w:t xml:space="preserve">2022</w:t>
            </w:r>
          </w:p>
          <w:p>
            <w:pPr/>
            <w:r>
              <w:rPr/>
              <w:t xml:space="preserve">Ouvrages</w:t>
            </w:r>
          </w:p>
          <w:p>
            <w:pPr/>
            <w:hyperlink r:id="rId42" w:history="1">
              <w:r>
                <w:rPr>
                  <w:color w:val="#410a8c"/>
                  <w:u w:val="single"/>
                </w:rPr>
                <w:t xml:space="preserve">hal-03348993v1</w:t>
              </w:r>
            </w:hyperlink>
          </w:p>
        </w:tc>
      </w:tr>
      <w:tr>
        <w:trPr/>
        <w:tc>
          <w:tcPr>
            <w:noWrap/>
          </w:tcPr>
          <w:p>
            <w:pPr>
              <w:spacing w:after="200"/>
            </w:pPr>
            <w:hyperlink r:id="rId43" w:history="1">
              <w:r>
                <w:rPr>
                  <w:color w:val="1e198e"/>
                  <w:b w:val="1"/>
                  <w:bCs w:val="1"/>
                  <w:u w:val="single"/>
                </w:rPr>
                <w:t xml:space="preserve">Regards croisés sur la qualité de la législation fiscale</w:t>
              </w:r>
            </w:hyperlink>
          </w:p>
          <w:p>
            <w:pPr/>
            <w:hyperlink r:id="rId8" w:history="1">
              <w:r>
                <w:rPr>
                  <w:color w:val="#410a8c"/>
                  <w:u w:val="single"/>
                </w:rPr>
                <w:t xml:space="preserve">Benjamin Ricou</w:t>
              </w:r>
            </w:hyperlink>
          </w:p>
          <w:p>
            <w:pPr/>
            <w:r>
              <w:rPr/>
              <w:t xml:space="preserve">LexisNexis, 2022, 978-2-7110-3672-1</w:t>
            </w:r>
          </w:p>
          <w:p>
            <w:pPr/>
            <w:r>
              <w:rPr/>
              <w:t xml:space="preserve">Ouvrages</w:t>
            </w:r>
          </w:p>
          <w:p>
            <w:pPr/>
            <w:hyperlink r:id="rId43" w:history="1">
              <w:r>
                <w:rPr>
                  <w:color w:val="#410a8c"/>
                  <w:u w:val="single"/>
                </w:rPr>
                <w:t xml:space="preserve">hal-03984732v1</w:t>
              </w:r>
            </w:hyperlink>
          </w:p>
        </w:tc>
      </w:tr>
      <w:tr>
        <w:trPr/>
        <w:tc>
          <w:tcPr>
            <w:noWrap/>
          </w:tcPr>
          <w:p>
            <w:pPr>
              <w:spacing w:after="200"/>
            </w:pPr>
            <w:hyperlink r:id="rId44" w:history="1">
              <w:r>
                <w:rPr>
                  <w:color w:val="1e198e"/>
                  <w:b w:val="1"/>
                  <w:bCs w:val="1"/>
                  <w:u w:val="single"/>
                </w:rPr>
                <w:t xml:space="preserve">Les indispensables des procédures fiscales, Paris, Ellipses, coll. « Les indispensables », 2015 (192 p.)</w:t>
              </w:r>
            </w:hyperlink>
          </w:p>
          <w:p>
            <w:pPr/>
            <w:hyperlink r:id="rId8" w:history="1">
              <w:r>
                <w:rPr>
                  <w:color w:val="#410a8c"/>
                  <w:u w:val="single"/>
                </w:rPr>
                <w:t xml:space="preserve">Benjamin Ricou</w:t>
              </w:r>
            </w:hyperlink>
          </w:p>
          <w:p>
            <w:pPr/>
            <w:r>
              <w:rPr/>
              <w:t xml:space="preserve">2015</w:t>
            </w:r>
          </w:p>
          <w:p>
            <w:pPr/>
            <w:r>
              <w:rPr/>
              <w:t xml:space="preserve">Ouvrages</w:t>
            </w:r>
          </w:p>
          <w:p>
            <w:pPr/>
            <w:hyperlink r:id="rId44" w:history="1">
              <w:r>
                <w:rPr>
                  <w:color w:val="#410a8c"/>
                  <w:u w:val="single"/>
                </w:rPr>
                <w:t xml:space="preserve">hal-03348972v1</w:t>
              </w:r>
            </w:hyperlink>
          </w:p>
        </w:tc>
      </w:tr>
      <w:tr>
        <w:trPr/>
        <w:tc>
          <w:tcPr>
            <w:noWrap/>
          </w:tcPr>
          <w:p>
            <w:pPr>
              <w:spacing w:after="200"/>
            </w:pPr>
            <w:hyperlink r:id="rId45" w:history="1">
              <w:r>
                <w:rPr>
                  <w:color w:val="1e198e"/>
                  <w:b w:val="1"/>
                  <w:bCs w:val="1"/>
                  <w:u w:val="single"/>
                </w:rPr>
                <w:t xml:space="preserve">Des politiques jurisprudentielles de renforcement de la compétence de la juridiction administrative, Paris, Lextenso, L’Epitoge, 2015 (872 p.)</w:t>
              </w:r>
            </w:hyperlink>
          </w:p>
          <w:p>
            <w:pPr/>
            <w:hyperlink r:id="rId8" w:history="1">
              <w:r>
                <w:rPr>
                  <w:color w:val="#410a8c"/>
                  <w:u w:val="single"/>
                </w:rPr>
                <w:t xml:space="preserve">Benjamin Ricou</w:t>
              </w:r>
            </w:hyperlink>
          </w:p>
          <w:p>
            <w:pPr/>
            <w:r>
              <w:rPr/>
              <w:t xml:space="preserve">2015</w:t>
            </w:r>
          </w:p>
          <w:p>
            <w:pPr/>
            <w:r>
              <w:rPr/>
              <w:t xml:space="preserve">Ouvrages</w:t>
            </w:r>
          </w:p>
          <w:p>
            <w:pPr/>
            <w:hyperlink r:id="rId45" w:history="1">
              <w:r>
                <w:rPr>
                  <w:color w:val="#410a8c"/>
                  <w:u w:val="single"/>
                </w:rPr>
                <w:t xml:space="preserve">hal-03348999v1</w:t>
              </w:r>
            </w:hyperlink>
          </w:p>
        </w:tc>
      </w:tr>
      <w:tr>
        <w:trPr/>
        <w:tc>
          <w:tcPr>
            <w:noWrap/>
          </w:tcPr>
          <w:p>
            <w:pPr>
              <w:spacing w:after="200"/>
            </w:pPr>
            <w:hyperlink r:id="rId46" w:history="1">
              <w:r>
                <w:rPr>
                  <w:color w:val="1e198e"/>
                  <w:b w:val="1"/>
                  <w:bCs w:val="1"/>
                  <w:u w:val="single"/>
                </w:rPr>
                <w:t xml:space="preserve">Des communications électroniques : objets juridiques au cœur de l’Unité des Droits, Paris, Lextenso, Ed. L’Epitoge, coll. L’Unité du Droit, 2012, 176 p</w:t>
              </w:r>
            </w:hyperlink>
          </w:p>
          <w:p>
            <w:pPr/>
            <w:hyperlink r:id="rId8" w:history="1">
              <w:r>
                <w:rPr>
                  <w:color w:val="#410a8c"/>
                  <w:u w:val="single"/>
                </w:rPr>
                <w:t xml:space="preserve">Benjamin Ricou</w:t>
              </w:r>
            </w:hyperlink>
            <w:r>
              <w:rPr/>
              <w:t xml:space="preserve">,</w:t>
            </w:r>
            <w:hyperlink r:id="rId47" w:history="1">
              <w:r>
                <w:rPr>
                  <w:color w:val="#410a8c"/>
                  <w:u w:val="single"/>
                </w:rPr>
                <w:t xml:space="preserve">Mathieu Touzeil-Divina</w:t>
              </w:r>
            </w:hyperlink>
          </w:p>
          <w:p>
            <w:pPr/>
            <w:r>
              <w:rPr/>
              <w:t xml:space="preserve">2012</w:t>
            </w:r>
          </w:p>
          <w:p>
            <w:pPr/>
            <w:r>
              <w:rPr/>
              <w:t xml:space="preserve">Ouvrages</w:t>
            </w:r>
          </w:p>
          <w:p>
            <w:pPr/>
            <w:hyperlink r:id="rId46" w:history="1">
              <w:r>
                <w:rPr>
                  <w:color w:val="#410a8c"/>
                  <w:u w:val="single"/>
                </w:rPr>
                <w:t xml:space="preserve">hal-03349113v1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2026</w:t>
            </w:r>
          </w:p>
          <w:p>
            <w:pPr/>
            <w:r>
              <w:rPr/>
              <w:t xml:space="preserve">Chapitre d'ouvrage</w:t>
            </w:r>
          </w:p>
          <w:p>
            <w:pPr/>
            <w:hyperlink r:id="rId48" w:history="1">
              <w:r>
                <w:rPr>
                  <w:color w:val="#410a8c"/>
                  <w:u w:val="single"/>
                </w:rPr>
                <w:t xml:space="preserve">hal-05592140v1</w:t>
              </w:r>
            </w:hyperlink>
          </w:p>
        </w:tc>
      </w:tr>
      <w:tr>
        <w:trPr/>
        <w:tc>
          <w:tcPr>
            <w:noWrap/>
          </w:tcPr>
          <w:p>
            <w:pPr>
              <w:spacing w:after="200"/>
            </w:pPr>
            <w:hyperlink r:id="rId49" w:history="1">
              <w:r>
                <w:rPr>
                  <w:color w:val="1e198e"/>
                  <w:b w:val="1"/>
                  <w:bCs w:val="1"/>
                  <w:u w:val="single"/>
                </w:rPr>
                <w:t xml:space="preserve">La recodification fiscale : un chantier inutile ?</w:t>
              </w:r>
            </w:hyperlink>
          </w:p>
          <w:p>
            <w:pPr/>
            <w:hyperlink r:id="rId8" w:history="1">
              <w:r>
                <w:rPr>
                  <w:color w:val="#410a8c"/>
                  <w:u w:val="single"/>
                </w:rPr>
                <w:t xml:space="preserve">Benjamin Ricou</w:t>
              </w:r>
            </w:hyperlink>
          </w:p>
          <w:p>
            <w:pPr/>
            <w:r>
              <w:rPr>
                <w:i w:val="1"/>
                <w:iCs w:val="1"/>
              </w:rPr>
              <w:t xml:space="preserve">Mélanges en l’honneur de Philippe Terneyre</w:t>
            </w:r>
            <w:r>
              <w:rPr/>
              <w:t xml:space="preserve">, DALLOZ, 2025</w:t>
            </w:r>
          </w:p>
          <w:p>
            <w:pPr/>
            <w:r>
              <w:rPr/>
              <w:t xml:space="preserve">Chapitre d'ouvrage</w:t>
            </w:r>
          </w:p>
          <w:p>
            <w:pPr/>
            <w:hyperlink r:id="rId49" w:history="1">
              <w:r>
                <w:rPr>
                  <w:color w:val="#410a8c"/>
                  <w:u w:val="single"/>
                </w:rPr>
                <w:t xml:space="preserve">hal-05293385v1</w:t>
              </w:r>
            </w:hyperlink>
          </w:p>
        </w:tc>
      </w:tr>
      <w:tr>
        <w:trPr/>
        <w:tc>
          <w:tcPr>
            <w:noWrap/>
          </w:tcPr>
          <w:p>
            <w:pPr>
              <w:spacing w:after="200"/>
            </w:pPr>
            <w:hyperlink r:id="rId50" w:history="1">
              <w:r>
                <w:rPr>
                  <w:color w:val="1e198e"/>
                  <w:b w:val="1"/>
                  <w:bCs w:val="1"/>
                  <w:u w:val="single"/>
                </w:rPr>
                <w:t xml:space="preserve">Quels privilèges financiers et fiscaux pour les associations ?</w:t>
              </w:r>
            </w:hyperlink>
          </w:p>
          <w:p>
            <w:pPr/>
            <w:hyperlink r:id="rId8" w:history="1">
              <w:r>
                <w:rPr>
                  <w:color w:val="#410a8c"/>
                  <w:u w:val="single"/>
                </w:rPr>
                <w:t xml:space="preserve">Benjamin Ricou</w:t>
              </w:r>
            </w:hyperlink>
          </w:p>
          <w:p>
            <w:pPr/>
            <w:r>
              <w:rPr>
                <w:i w:val="1"/>
                <w:iCs w:val="1"/>
              </w:rPr>
              <w:t xml:space="preserve">Associations et Droit public</w:t>
            </w:r>
            <w:r>
              <w:rPr/>
              <w:t xml:space="preserve">, IFJD, A paraître</w:t>
            </w:r>
          </w:p>
          <w:p>
            <w:pPr/>
            <w:r>
              <w:rPr/>
              <w:t xml:space="preserve">Chapitre d'ouvrage</w:t>
            </w:r>
          </w:p>
          <w:p>
            <w:pPr/>
            <w:hyperlink r:id="rId50" w:history="1">
              <w:r>
                <w:rPr>
                  <w:color w:val="#410a8c"/>
                  <w:u w:val="single"/>
                </w:rPr>
                <w:t xml:space="preserve">hal-04758251v1</w:t>
              </w:r>
            </w:hyperlink>
          </w:p>
        </w:tc>
      </w:tr>
      <w:tr>
        <w:trPr/>
        <w:tc>
          <w:tcPr>
            <w:noWrap/>
          </w:tcPr>
          <w:p>
            <w:pPr>
              <w:spacing w:after="200"/>
            </w:pPr>
            <w:hyperlink r:id="rId51" w:history="1">
              <w:r>
                <w:rPr>
                  <w:color w:val="1e198e"/>
                  <w:b w:val="1"/>
                  <w:bCs w:val="1"/>
                  <w:u w:val="single"/>
                </w:rPr>
                <w:t xml:space="preserve">Le règlement de conditionnalité</w:t>
              </w:r>
            </w:hyperlink>
          </w:p>
          <w:p>
            <w:pPr/>
            <w:hyperlink r:id="rId8" w:history="1">
              <w:r>
                <w:rPr>
                  <w:color w:val="#410a8c"/>
                  <w:u w:val="single"/>
                </w:rPr>
                <w:t xml:space="preserve">Benjamin Ricou</w:t>
              </w:r>
            </w:hyperlink>
          </w:p>
          <w:p>
            <w:pPr/>
            <w:r>
              <w:rPr>
                <w:i w:val="1"/>
                <w:iCs w:val="1"/>
              </w:rPr>
              <w:t xml:space="preserve">Finances européennes : bilan et perspectives</w:t>
            </w:r>
            <w:r>
              <w:rPr/>
              <w:t xml:space="preserve">, A paraître</w:t>
            </w:r>
          </w:p>
          <w:p>
            <w:pPr/>
            <w:r>
              <w:rPr/>
              <w:t xml:space="preserve">Chapitre d'ouvrage</w:t>
            </w:r>
          </w:p>
          <w:p>
            <w:pPr/>
            <w:hyperlink r:id="rId51" w:history="1">
              <w:r>
                <w:rPr>
                  <w:color w:val="#410a8c"/>
                  <w:u w:val="single"/>
                </w:rPr>
                <w:t xml:space="preserve">hal-04758235v1</w:t>
              </w:r>
            </w:hyperlink>
          </w:p>
        </w:tc>
      </w:tr>
      <w:tr>
        <w:trPr/>
        <w:tc>
          <w:tcPr>
            <w:noWrap/>
          </w:tcPr>
          <w:p>
            <w:pPr>
              <w:spacing w:after="200"/>
            </w:pPr>
            <w:hyperlink r:id="rId52" w:history="1">
              <w:r>
                <w:rPr>
                  <w:color w:val="1e198e"/>
                  <w:b w:val="1"/>
                  <w:bCs w:val="1"/>
                  <w:u w:val="single"/>
                </w:rPr>
                <w:t xml:space="preserve">Chronique financière</w:t>
              </w:r>
            </w:hyperlink>
          </w:p>
          <w:p>
            <w:pPr/>
            <w:hyperlink r:id="rId11" w:history="1">
              <w:r>
                <w:rPr>
                  <w:color w:val="#410a8c"/>
                  <w:u w:val="single"/>
                </w:rPr>
                <w:t xml:space="preserve">Lukasz Stankiewicz</w:t>
              </w:r>
            </w:hyperlink>
            <w:r>
              <w:rPr/>
              <w:t xml:space="preserve">,</w:t>
            </w:r>
            <w:hyperlink r:id="rId12" w:history="1">
              <w:r>
                <w:rPr>
                  <w:color w:val="#410a8c"/>
                  <w:u w:val="single"/>
                </w:rPr>
                <w:t xml:space="preserve">Christelle Ballandras-Rozet</w:t>
              </w:r>
            </w:hyperlink>
            <w:r>
              <w:rPr/>
              <w:t xml:space="preserve">,</w:t>
            </w:r>
            <w:hyperlink r:id="rId13" w:history="1">
              <w:r>
                <w:rPr>
                  <w:color w:val="#410a8c"/>
                  <w:u w:val="single"/>
                </w:rPr>
                <w:t xml:space="preserve">Damien Catteau</w:t>
              </w:r>
            </w:hyperlink>
            <w:r>
              <w:rPr/>
              <w:t xml:space="preserve">,</w:t>
            </w:r>
            <w:hyperlink r:id="rId14"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t xml:space="preserve">Claude Blumann; Fabrice Picod. </w:t>
            </w:r>
            <w:r>
              <w:rPr>
                <w:i w:val="1"/>
                <w:iCs w:val="1"/>
              </w:rPr>
              <w:t xml:space="preserve">Annuaire de droit de l'Union européenne 2022</w:t>
            </w:r>
            <w:r>
              <w:rPr/>
              <w:t xml:space="preserve">, Éditions Panthéon-Assas, pp.1003-1029, 2024, 9782376510567</w:t>
            </w:r>
          </w:p>
          <w:p>
            <w:pPr/>
            <w:r>
              <w:rPr/>
              <w:t xml:space="preserve">Chapitre d'ouvrage</w:t>
            </w:r>
          </w:p>
          <w:p>
            <w:pPr/>
            <w:hyperlink r:id="rId52" w:history="1">
              <w:r>
                <w:rPr>
                  <w:color w:val="#410a8c"/>
                  <w:u w:val="single"/>
                </w:rPr>
                <w:t xml:space="preserve">hal-04858358v1</w:t>
              </w:r>
            </w:hyperlink>
          </w:p>
        </w:tc>
      </w:tr>
      <w:tr>
        <w:trPr/>
        <w:tc>
          <w:tcPr>
            <w:noWrap/>
          </w:tcPr>
          <w:p>
            <w:pPr>
              <w:spacing w:after="200"/>
            </w:pPr>
            <w:hyperlink r:id="rId53" w:history="1">
              <w:r>
                <w:rPr>
                  <w:color w:val="1e198e"/>
                  <w:b w:val="1"/>
                  <w:bCs w:val="1"/>
                  <w:u w:val="single"/>
                </w:rPr>
                <w:t xml:space="preserve">Taxation forfaitaire du revenu d’après certains éléments de train de vie (CGI, art. 168 et 1649 quater-0 B ter ; LPF, art. L. 63) – Présomption de revenus provenant de certaines activités illicites (CGI, art. 1649 quater-0 B bis)</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0461, 2024</w:t>
            </w:r>
          </w:p>
          <w:p>
            <w:pPr/>
            <w:r>
              <w:rPr/>
              <w:t xml:space="preserve">Chapitre d'ouvrage</w:t>
            </w:r>
          </w:p>
          <w:p>
            <w:pPr/>
            <w:hyperlink r:id="rId53" w:history="1">
              <w:r>
                <w:rPr>
                  <w:color w:val="#410a8c"/>
                  <w:u w:val="single"/>
                </w:rPr>
                <w:t xml:space="preserve">hal-04758167v1</w:t>
              </w:r>
            </w:hyperlink>
          </w:p>
        </w:tc>
      </w:tr>
      <w:tr>
        <w:trPr/>
        <w:tc>
          <w:tcPr>
            <w:noWrap/>
          </w:tcPr>
          <w:p>
            <w:pPr>
              <w:spacing w:after="200"/>
            </w:pPr>
            <w:hyperlink r:id="rId54"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2024</w:t>
            </w:r>
          </w:p>
          <w:p>
            <w:pPr/>
            <w:r>
              <w:rPr/>
              <w:t xml:space="preserve">Chapitre d'ouvrage</w:t>
            </w:r>
          </w:p>
          <w:p>
            <w:pPr/>
            <w:hyperlink r:id="rId54" w:history="1">
              <w:r>
                <w:rPr>
                  <w:color w:val="#410a8c"/>
                  <w:u w:val="single"/>
                </w:rPr>
                <w:t xml:space="preserve">hal-04758202v1</w:t>
              </w:r>
            </w:hyperlink>
          </w:p>
        </w:tc>
      </w:tr>
      <w:tr>
        <w:trPr/>
        <w:tc>
          <w:tcPr>
            <w:noWrap/>
          </w:tcPr>
          <w:p>
            <w:pPr>
              <w:spacing w:after="200"/>
            </w:pPr>
            <w:hyperlink r:id="rId55" w:history="1">
              <w:r>
                <w:rPr>
                  <w:color w:val="1e198e"/>
                  <w:b w:val="1"/>
                  <w:bCs w:val="1"/>
                  <w:u w:val="single"/>
                </w:rPr>
                <w:t xml:space="preserve">Chronique financière</w:t>
              </w:r>
            </w:hyperlink>
          </w:p>
          <w:p>
            <w:pPr/>
            <w:hyperlink r:id="rId11" w:history="1">
              <w:r>
                <w:rPr>
                  <w:color w:val="#410a8c"/>
                  <w:u w:val="single"/>
                </w:rPr>
                <w:t xml:space="preserve">Lukasz Stankiewicz</w:t>
              </w:r>
            </w:hyperlink>
            <w:r>
              <w:rPr/>
              <w:t xml:space="preserve">,</w:t>
            </w:r>
            <w:hyperlink r:id="rId12" w:history="1">
              <w:r>
                <w:rPr>
                  <w:color w:val="#410a8c"/>
                  <w:u w:val="single"/>
                </w:rPr>
                <w:t xml:space="preserve">Christelle Ballandras-Rozet</w:t>
              </w:r>
            </w:hyperlink>
            <w:r>
              <w:rPr/>
              <w:t xml:space="preserve">,</w:t>
            </w:r>
            <w:hyperlink r:id="rId13" w:history="1">
              <w:r>
                <w:rPr>
                  <w:color w:val="#410a8c"/>
                  <w:u w:val="single"/>
                </w:rPr>
                <w:t xml:space="preserve">Damien Catteau</w:t>
              </w:r>
            </w:hyperlink>
            <w:r>
              <w:rPr/>
              <w:t xml:space="preserve">,</w:t>
            </w:r>
            <w:hyperlink r:id="rId14"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t xml:space="preserve">Claude Blumann; Fabrice Picod. </w:t>
            </w:r>
            <w:r>
              <w:rPr>
                <w:i w:val="1"/>
                <w:iCs w:val="1"/>
              </w:rPr>
              <w:t xml:space="preserve">Annuaire de droit de l'Union européenne 2021</w:t>
            </w:r>
            <w:r>
              <w:rPr/>
              <w:t xml:space="preserve">, Éditions Panthéon-Assas, pp.695-716, 2023, 9782376510529</w:t>
            </w:r>
          </w:p>
          <w:p>
            <w:pPr/>
            <w:r>
              <w:rPr/>
              <w:t xml:space="preserve">Chapitre d'ouvrage</w:t>
            </w:r>
          </w:p>
          <w:p>
            <w:pPr/>
            <w:hyperlink r:id="rId55" w:history="1">
              <w:r>
                <w:rPr>
                  <w:color w:val="#410a8c"/>
                  <w:u w:val="single"/>
                </w:rPr>
                <w:t xml:space="preserve">hal-04858353v1</w:t>
              </w:r>
            </w:hyperlink>
          </w:p>
        </w:tc>
      </w:tr>
      <w:tr>
        <w:trPr/>
        <w:tc>
          <w:tcPr>
            <w:noWrap/>
          </w:tcPr>
          <w:p>
            <w:pPr>
              <w:spacing w:after="200"/>
            </w:pPr>
            <w:hyperlink r:id="rId56" w:history="1">
              <w:r>
                <w:rPr>
                  <w:color w:val="1e198e"/>
                  <w:b w:val="1"/>
                  <w:bCs w:val="1"/>
                  <w:u w:val="single"/>
                </w:rPr>
                <w:t xml:space="preserve">Sources du droit fiscal. – Sources internes. – Codification fiscale - Processus</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0460, LexisNexis, 2023</w:t>
            </w:r>
          </w:p>
          <w:p>
            <w:pPr/>
            <w:r>
              <w:rPr/>
              <w:t xml:space="preserve">Chapitre d'ouvrage</w:t>
            </w:r>
          </w:p>
          <w:p>
            <w:pPr/>
            <w:hyperlink r:id="rId56" w:history="1">
              <w:r>
                <w:rPr>
                  <w:color w:val="#410a8c"/>
                  <w:u w:val="single"/>
                </w:rPr>
                <w:t xml:space="preserve">hal-04758185v1</w:t>
              </w:r>
            </w:hyperlink>
          </w:p>
        </w:tc>
      </w:tr>
      <w:tr>
        <w:trPr/>
        <w:tc>
          <w:tcPr>
            <w:noWrap/>
          </w:tcPr>
          <w:p>
            <w:pPr>
              <w:spacing w:after="200"/>
            </w:pPr>
            <w:hyperlink r:id="rId57" w:history="1">
              <w:r>
                <w:rPr>
                  <w:color w:val="1e198e"/>
                  <w:b w:val="1"/>
                  <w:bCs w:val="1"/>
                  <w:u w:val="single"/>
                </w:rPr>
                <w:t xml:space="preserve">Chronique jurisprudentielle annuelle de procédures fiscales »</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2023</w:t>
            </w:r>
          </w:p>
          <w:p>
            <w:pPr/>
            <w:r>
              <w:rPr/>
              <w:t xml:space="preserve">Chapitre d'ouvrage</w:t>
            </w:r>
          </w:p>
          <w:p>
            <w:pPr/>
            <w:hyperlink r:id="rId57" w:history="1">
              <w:r>
                <w:rPr>
                  <w:color w:val="#410a8c"/>
                  <w:u w:val="single"/>
                </w:rPr>
                <w:t xml:space="preserve">hal-04758206v1</w:t>
              </w:r>
            </w:hyperlink>
          </w:p>
        </w:tc>
      </w:tr>
      <w:tr>
        <w:trPr/>
        <w:tc>
          <w:tcPr>
            <w:noWrap/>
          </w:tcPr>
          <w:p>
            <w:pPr>
              <w:spacing w:after="200"/>
            </w:pPr>
            <w:hyperlink r:id="rId58" w:history="1">
              <w:r>
                <w:rPr>
                  <w:color w:val="1e198e"/>
                  <w:b w:val="1"/>
                  <w:bCs w:val="1"/>
                  <w:u w:val="single"/>
                </w:rPr>
                <w:t xml:space="preserve">Sources du droit fiscal. – Sources internes. – Codification fiscale – Vertus et insuffisances</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0461, LexisNexis, 2023</w:t>
            </w:r>
          </w:p>
          <w:p>
            <w:pPr/>
            <w:r>
              <w:rPr/>
              <w:t xml:space="preserve">Chapitre d'ouvrage</w:t>
            </w:r>
          </w:p>
          <w:p>
            <w:pPr/>
            <w:hyperlink r:id="rId58" w:history="1">
              <w:r>
                <w:rPr>
                  <w:color w:val="#410a8c"/>
                  <w:u w:val="single"/>
                </w:rPr>
                <w:t xml:space="preserve">hal-04758189v1</w:t>
              </w:r>
            </w:hyperlink>
          </w:p>
        </w:tc>
      </w:tr>
      <w:tr>
        <w:trPr/>
        <w:tc>
          <w:tcPr>
            <w:noWrap/>
          </w:tcPr>
          <w:p>
            <w:pPr>
              <w:spacing w:after="200"/>
            </w:pPr>
            <w:hyperlink r:id="rId59" w:history="1">
              <w:r>
                <w:rPr>
                  <w:color w:val="1e198e"/>
                  <w:b w:val="1"/>
                  <w:bCs w:val="1"/>
                  <w:u w:val="single"/>
                </w:rPr>
                <w:t xml:space="preserve">Imposition des activités de service public</w:t>
              </w:r>
            </w:hyperlink>
          </w:p>
          <w:p>
            <w:pPr/>
            <w:hyperlink r:id="rId8" w:history="1">
              <w:r>
                <w:rPr>
                  <w:color w:val="#410a8c"/>
                  <w:u w:val="single"/>
                </w:rPr>
                <w:t xml:space="preserve">Benjamin Ricou</w:t>
              </w:r>
            </w:hyperlink>
          </w:p>
          <w:p>
            <w:pPr/>
            <w:r>
              <w:rPr>
                <w:i w:val="1"/>
                <w:iCs w:val="1"/>
              </w:rPr>
              <w:t xml:space="preserve">Dalloz Services publics</w:t>
            </w:r>
            <w:r>
              <w:rPr/>
              <w:t xml:space="preserve">, Dalloz, 2023</w:t>
            </w:r>
          </w:p>
          <w:p>
            <w:pPr/>
            <w:r>
              <w:rPr/>
              <w:t xml:space="preserve">Chapitre d'ouvrage</w:t>
            </w:r>
          </w:p>
          <w:p>
            <w:pPr/>
            <w:hyperlink r:id="rId59" w:history="1">
              <w:r>
                <w:rPr>
                  <w:color w:val="#410a8c"/>
                  <w:u w:val="single"/>
                </w:rPr>
                <w:t xml:space="preserve">hal-04758192v1</w:t>
              </w:r>
            </w:hyperlink>
          </w:p>
        </w:tc>
      </w:tr>
      <w:tr>
        <w:trPr/>
        <w:tc>
          <w:tcPr>
            <w:noWrap/>
          </w:tcPr>
          <w:p>
            <w:pPr>
              <w:spacing w:after="200"/>
            </w:pPr>
            <w:hyperlink r:id="rId60" w:history="1">
              <w:r>
                <w:rPr>
                  <w:color w:val="1e198e"/>
                  <w:b w:val="1"/>
                  <w:bCs w:val="1"/>
                  <w:u w:val="single"/>
                </w:rPr>
                <w:t xml:space="preserve">La protection du budget de l’Union européenne par l’instauration d’un régime général de conditionnalité de versement des fonds européens au respect de l’État de droit (règlement 2020/2092 du 16 décembre 2020) – Suite (mais pas fin)</w:t>
              </w:r>
            </w:hyperlink>
          </w:p>
          <w:p>
            <w:pPr/>
            <w:hyperlink r:id="rId8" w:history="1">
              <w:r>
                <w:rPr>
                  <w:color w:val="#410a8c"/>
                  <w:u w:val="single"/>
                </w:rPr>
                <w:t xml:space="preserve">Benjamin Ricou</w:t>
              </w:r>
            </w:hyperlink>
          </w:p>
          <w:p>
            <w:pPr/>
            <w:r>
              <w:rPr>
                <w:i w:val="1"/>
                <w:iCs w:val="1"/>
              </w:rPr>
              <w:t xml:space="preserve">Annuaire de droit de l’Union européenne</w:t>
            </w:r>
            <w:r>
              <w:rPr/>
              <w:t xml:space="preserve">, Editions Panthéon-Assas, 2022</w:t>
            </w:r>
          </w:p>
          <w:p>
            <w:pPr/>
            <w:r>
              <w:rPr/>
              <w:t xml:space="preserve">Chapitre d'ouvrage</w:t>
            </w:r>
          </w:p>
          <w:p>
            <w:pPr/>
            <w:hyperlink r:id="rId60" w:history="1">
              <w:r>
                <w:rPr>
                  <w:color w:val="#410a8c"/>
                  <w:u w:val="single"/>
                </w:rPr>
                <w:t xml:space="preserve">hal-04758154v1</w:t>
              </w:r>
            </w:hyperlink>
          </w:p>
        </w:tc>
      </w:tr>
      <w:tr>
        <w:trPr/>
        <w:tc>
          <w:tcPr>
            <w:noWrap/>
          </w:tcPr>
          <w:p>
            <w:pPr>
              <w:spacing w:after="200"/>
            </w:pPr>
            <w:hyperlink r:id="rId61"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2022</w:t>
            </w:r>
          </w:p>
          <w:p>
            <w:pPr/>
            <w:r>
              <w:rPr/>
              <w:t xml:space="preserve">Chapitre d'ouvrage</w:t>
            </w:r>
          </w:p>
          <w:p>
            <w:pPr/>
            <w:hyperlink r:id="rId61" w:history="1">
              <w:r>
                <w:rPr>
                  <w:color w:val="#410a8c"/>
                  <w:u w:val="single"/>
                </w:rPr>
                <w:t xml:space="preserve">hal-04758214v1</w:t>
              </w:r>
            </w:hyperlink>
          </w:p>
        </w:tc>
      </w:tr>
      <w:tr>
        <w:trPr/>
        <w:tc>
          <w:tcPr>
            <w:noWrap/>
          </w:tcPr>
          <w:p>
            <w:pPr>
              <w:spacing w:after="200"/>
            </w:pPr>
            <w:hyperlink r:id="rId62" w:history="1">
              <w:r>
                <w:rPr>
                  <w:color w:val="1e198e"/>
                  <w:b w:val="1"/>
                  <w:bCs w:val="1"/>
                  <w:u w:val="single"/>
                </w:rPr>
                <w:t xml:space="preserve">Chronique jurisprudentielle annuelle de procédures fiscales »</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2021</w:t>
            </w:r>
          </w:p>
          <w:p>
            <w:pPr/>
            <w:r>
              <w:rPr/>
              <w:t xml:space="preserve">Chapitre d'ouvrage</w:t>
            </w:r>
          </w:p>
          <w:p>
            <w:pPr/>
            <w:hyperlink r:id="rId62" w:history="1">
              <w:r>
                <w:rPr>
                  <w:color w:val="#410a8c"/>
                  <w:u w:val="single"/>
                </w:rPr>
                <w:t xml:space="preserve">hal-04758220v1</w:t>
              </w:r>
            </w:hyperlink>
          </w:p>
        </w:tc>
      </w:tr>
      <w:tr>
        <w:trPr/>
        <w:tc>
          <w:tcPr>
            <w:noWrap/>
          </w:tcPr>
          <w:p>
            <w:pPr>
              <w:spacing w:after="200"/>
            </w:pPr>
            <w:hyperlink r:id="rId63" w:history="1">
              <w:r>
                <w:rPr>
                  <w:color w:val="1e198e"/>
                  <w:b w:val="1"/>
                  <w:bCs w:val="1"/>
                  <w:u w:val="single"/>
                </w:rPr>
                <w:t xml:space="preserve">Chronique financière</w:t>
              </w:r>
            </w:hyperlink>
          </w:p>
          <w:p>
            <w:pPr/>
            <w:hyperlink r:id="rId11" w:history="1">
              <w:r>
                <w:rPr>
                  <w:color w:val="#410a8c"/>
                  <w:u w:val="single"/>
                </w:rPr>
                <w:t xml:space="preserve">Lukasz Stankiewicz</w:t>
              </w:r>
            </w:hyperlink>
            <w:r>
              <w:rPr/>
              <w:t xml:space="preserve">,</w:t>
            </w:r>
            <w:hyperlink r:id="rId12" w:history="1">
              <w:r>
                <w:rPr>
                  <w:color w:val="#410a8c"/>
                  <w:u w:val="single"/>
                </w:rPr>
                <w:t xml:space="preserve">Christelle Ballandras-Rozet</w:t>
              </w:r>
            </w:hyperlink>
            <w:r>
              <w:rPr/>
              <w:t xml:space="preserve">,</w:t>
            </w:r>
            <w:hyperlink r:id="rId13" w:history="1">
              <w:r>
                <w:rPr>
                  <w:color w:val="#410a8c"/>
                  <w:u w:val="single"/>
                </w:rPr>
                <w:t xml:space="preserve">Damien Catteau</w:t>
              </w:r>
            </w:hyperlink>
            <w:r>
              <w:rPr/>
              <w:t xml:space="preserve">,</w:t>
            </w:r>
            <w:hyperlink r:id="rId14"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t xml:space="preserve">Claude Blumann; Fabrice Picod. </w:t>
            </w:r>
            <w:r>
              <w:rPr>
                <w:i w:val="1"/>
                <w:iCs w:val="1"/>
              </w:rPr>
              <w:t xml:space="preserve">Annuaire de droit de l'Union européenne 2020</w:t>
            </w:r>
            <w:r>
              <w:rPr/>
              <w:t xml:space="preserve">, Éditions Panthéon-Assas, pp.1101-1142, 2021, 9782376510390</w:t>
            </w:r>
          </w:p>
          <w:p>
            <w:pPr/>
            <w:r>
              <w:rPr/>
              <w:t xml:space="preserve">Chapitre d'ouvrage</w:t>
            </w:r>
          </w:p>
          <w:p>
            <w:pPr/>
            <w:hyperlink r:id="rId63" w:history="1">
              <w:r>
                <w:rPr>
                  <w:color w:val="#410a8c"/>
                  <w:u w:val="single"/>
                </w:rPr>
                <w:t xml:space="preserve">hal-04858347v1</w:t>
              </w:r>
            </w:hyperlink>
          </w:p>
        </w:tc>
      </w:tr>
      <w:tr>
        <w:trPr/>
        <w:tc>
          <w:tcPr>
            <w:noWrap/>
          </w:tcPr>
          <w:p>
            <w:pPr>
              <w:spacing w:after="200"/>
            </w:pPr>
            <w:hyperlink r:id="rId64" w:history="1">
              <w:r>
                <w:rPr>
                  <w:color w:val="1e198e"/>
                  <w:b w:val="1"/>
                  <w:bCs w:val="1"/>
                  <w:u w:val="single"/>
                </w:rPr>
                <w:t xml:space="preserve">« Sources du droit fiscal. – Sources internes. – Compétence du pouvoir réglementaire », JurisClasseur Procédures fiscales, fasc. 130, 2020 (77 p.)</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2020</w:t>
            </w:r>
          </w:p>
          <w:p>
            <w:pPr/>
            <w:r>
              <w:rPr/>
              <w:t xml:space="preserve">Chapitre d'ouvrage</w:t>
            </w:r>
          </w:p>
          <w:p>
            <w:pPr/>
            <w:hyperlink r:id="rId64" w:history="1">
              <w:r>
                <w:rPr>
                  <w:color w:val="#410a8c"/>
                  <w:u w:val="single"/>
                </w:rPr>
                <w:t xml:space="preserve">hal-03349046v1</w:t>
              </w:r>
            </w:hyperlink>
          </w:p>
        </w:tc>
      </w:tr>
      <w:tr>
        <w:trPr/>
        <w:tc>
          <w:tcPr>
            <w:noWrap/>
          </w:tcPr>
          <w:p>
            <w:pPr>
              <w:spacing w:after="200"/>
            </w:pPr>
            <w:hyperlink r:id="rId65" w:history="1">
              <w:r>
                <w:rPr>
                  <w:color w:val="1e198e"/>
                  <w:b w:val="1"/>
                  <w:bCs w:val="1"/>
                  <w:u w:val="single"/>
                </w:rPr>
                <w:t xml:space="preserve">« Sources du droit fiscal. – Sources internes. – Compétence du pouvoir législatif », JurisClasseur Procédures fiscales, fasc. 120, 2020 (76 p.)</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2020</w:t>
            </w:r>
          </w:p>
          <w:p>
            <w:pPr/>
            <w:r>
              <w:rPr/>
              <w:t xml:space="preserve">Chapitre d'ouvrage</w:t>
            </w:r>
          </w:p>
          <w:p>
            <w:pPr/>
            <w:hyperlink r:id="rId65" w:history="1">
              <w:r>
                <w:rPr>
                  <w:color w:val="#410a8c"/>
                  <w:u w:val="single"/>
                </w:rPr>
                <w:t xml:space="preserve">hal-03349044v1</w:t>
              </w:r>
            </w:hyperlink>
          </w:p>
        </w:tc>
      </w:tr>
      <w:tr>
        <w:trPr/>
        <w:tc>
          <w:tcPr>
            <w:noWrap/>
          </w:tcPr>
          <w:p>
            <w:pPr>
              <w:spacing w:after="200"/>
            </w:pPr>
            <w:hyperlink r:id="rId66" w:history="1">
              <w:r>
                <w:rPr>
                  <w:color w:val="1e198e"/>
                  <w:b w:val="1"/>
                  <w:bCs w:val="1"/>
                  <w:u w:val="single"/>
                </w:rPr>
                <w:t xml:space="preserve">« La protection des données personnelles des décisions des juridictions ordinaires », dans Pierre Bourdon Dir., La communication des décisions du juge administratif, Paris, LexisNexis, 2019</w:t>
              </w:r>
            </w:hyperlink>
          </w:p>
          <w:p>
            <w:pPr/>
            <w:hyperlink r:id="rId8" w:history="1">
              <w:r>
                <w:rPr>
                  <w:color w:val="#410a8c"/>
                  <w:u w:val="single"/>
                </w:rPr>
                <w:t xml:space="preserve">Benjamin Ricou</w:t>
              </w:r>
            </w:hyperlink>
          </w:p>
          <w:p>
            <w:pPr/>
            <w:r>
              <w:rPr>
                <w:i w:val="1"/>
                <w:iCs w:val="1"/>
              </w:rPr>
              <w:t xml:space="preserve">La communication des décisions du juge administratif</w:t>
            </w:r>
            <w:r>
              <w:rPr/>
              <w:t xml:space="preserve">, 2019</w:t>
            </w:r>
          </w:p>
          <w:p>
            <w:pPr/>
            <w:r>
              <w:rPr/>
              <w:t xml:space="preserve">Chapitre d'ouvrage</w:t>
            </w:r>
          </w:p>
          <w:p>
            <w:pPr/>
            <w:hyperlink r:id="rId66" w:history="1">
              <w:r>
                <w:rPr>
                  <w:color w:val="#410a8c"/>
                  <w:u w:val="single"/>
                </w:rPr>
                <w:t xml:space="preserve">hal-03349006v1</w:t>
              </w:r>
            </w:hyperlink>
          </w:p>
        </w:tc>
      </w:tr>
      <w:tr>
        <w:trPr/>
        <w:tc>
          <w:tcPr>
            <w:noWrap/>
          </w:tcPr>
          <w:p>
            <w:pPr>
              <w:spacing w:after="200"/>
            </w:pPr>
            <w:hyperlink r:id="rId67" w:history="1">
              <w:r>
                <w:rPr>
                  <w:color w:val="1e198e"/>
                  <w:b w:val="1"/>
                  <w:bCs w:val="1"/>
                  <w:u w:val="single"/>
                </w:rPr>
                <w:t xml:space="preserve">« Opérations funéraires et concurrence », dans M. TOUZEIL-DIVINA, M. BOUTEILLE et J.-F. BOUDET Dir., Traité des nouveaux droits de la mort, Paris, Lextenso, Ed. L’Epitoge, 2014, pp. 383-406</w:t>
              </w:r>
            </w:hyperlink>
          </w:p>
          <w:p>
            <w:pPr/>
            <w:hyperlink r:id="rId8" w:history="1">
              <w:r>
                <w:rPr>
                  <w:color w:val="#410a8c"/>
                  <w:u w:val="single"/>
                </w:rPr>
                <w:t xml:space="preserve">Benjamin Ricou</w:t>
              </w:r>
            </w:hyperlink>
          </w:p>
          <w:p>
            <w:pPr/>
            <w:r>
              <w:rPr>
                <w:i w:val="1"/>
                <w:iCs w:val="1"/>
              </w:rPr>
              <w:t xml:space="preserve">Traité des nouveaux droits de la mort</w:t>
            </w:r>
            <w:r>
              <w:rPr/>
              <w:t xml:space="preserve">, 2014</w:t>
            </w:r>
          </w:p>
          <w:p>
            <w:pPr/>
            <w:r>
              <w:rPr/>
              <w:t xml:space="preserve">Chapitre d'ouvrage</w:t>
            </w:r>
          </w:p>
          <w:p>
            <w:pPr/>
            <w:hyperlink r:id="rId67" w:history="1">
              <w:r>
                <w:rPr>
                  <w:color w:val="#410a8c"/>
                  <w:u w:val="single"/>
                </w:rPr>
                <w:t xml:space="preserve">hal-03349022v1</w:t>
              </w:r>
            </w:hyperlink>
          </w:p>
        </w:tc>
      </w:tr>
      <w:tr>
        <w:trPr/>
        <w:tc>
          <w:tcPr>
            <w:noWrap/>
          </w:tcPr>
          <w:p>
            <w:pPr>
              <w:spacing w:after="200"/>
            </w:pPr>
            <w:hyperlink r:id="rId68" w:history="1">
              <w:r>
                <w:rPr>
                  <w:color w:val="1e198e"/>
                  <w:b w:val="1"/>
                  <w:bCs w:val="1"/>
                  <w:u w:val="single"/>
                </w:rPr>
                <w:t xml:space="preserve">Présentation et commentaire de la note de M. Hauriou sous la décision « Septfonds » du Tribunal des conflits, dans M. TOUZEIL-DIVINA (Dir.), Miscellanées Maurice Hauriou, Lextenso, L’épitoge, 2014, pp. 332-334</w:t>
              </w:r>
            </w:hyperlink>
          </w:p>
          <w:p>
            <w:pPr/>
            <w:hyperlink r:id="rId8" w:history="1">
              <w:r>
                <w:rPr>
                  <w:color w:val="#410a8c"/>
                  <w:u w:val="single"/>
                </w:rPr>
                <w:t xml:space="preserve">Benjamin Ricou</w:t>
              </w:r>
            </w:hyperlink>
          </w:p>
          <w:p>
            <w:pPr/>
            <w:r>
              <w:rPr>
                <w:i w:val="1"/>
                <w:iCs w:val="1"/>
              </w:rPr>
              <w:t xml:space="preserve">Miscellanées Maurice Hauriou</w:t>
            </w:r>
            <w:r>
              <w:rPr/>
              <w:t xml:space="preserve">, 2014</w:t>
            </w:r>
          </w:p>
          <w:p>
            <w:pPr/>
            <w:r>
              <w:rPr/>
              <w:t xml:space="preserve">Chapitre d'ouvrage</w:t>
            </w:r>
          </w:p>
          <w:p>
            <w:pPr/>
            <w:hyperlink r:id="rId68" w:history="1">
              <w:r>
                <w:rPr>
                  <w:color w:val="#410a8c"/>
                  <w:u w:val="single"/>
                </w:rPr>
                <w:t xml:space="preserve">hal-03349023v1</w:t>
              </w:r>
            </w:hyperlink>
          </w:p>
        </w:tc>
      </w:tr>
      <w:tr>
        <w:trPr/>
        <w:tc>
          <w:tcPr>
            <w:noWrap/>
          </w:tcPr>
          <w:p>
            <w:pPr>
              <w:spacing w:after="200"/>
            </w:pPr>
            <w:hyperlink r:id="rId69" w:history="1">
              <w:r>
                <w:rPr>
                  <w:color w:val="1e198e"/>
                  <w:b w:val="1"/>
                  <w:bCs w:val="1"/>
                  <w:u w:val="single"/>
                </w:rPr>
                <w:t xml:space="preserve">« L’appel implicite du juge ordinaire à l’intervention du législateur », dans M. TOUZEIL-DIVINA Dir., Un droit à l’évasion… circulaire. Voyages en l’honneur du Professeur Geneviève KOUBI, Paris, Lextenso, Ed. L’Epitoge, coll. « Académique », 2012, pp. 267-286</w:t>
              </w:r>
            </w:hyperlink>
          </w:p>
          <w:p>
            <w:pPr/>
            <w:hyperlink r:id="rId8" w:history="1">
              <w:r>
                <w:rPr>
                  <w:color w:val="#410a8c"/>
                  <w:u w:val="single"/>
                </w:rPr>
                <w:t xml:space="preserve">Benjamin Ricou</w:t>
              </w:r>
            </w:hyperlink>
          </w:p>
          <w:p>
            <w:pPr/>
            <w:r>
              <w:rPr>
                <w:i w:val="1"/>
                <w:iCs w:val="1"/>
              </w:rPr>
              <w:t xml:space="preserve">Un droit à l’évasion… circulaire. Voyages en l’honneur du Professeur Geneviève KOUBI</w:t>
            </w:r>
            <w:r>
              <w:rPr/>
              <w:t xml:space="preserve">, 2012</w:t>
            </w:r>
          </w:p>
          <w:p>
            <w:pPr/>
            <w:r>
              <w:rPr/>
              <w:t xml:space="preserve">Chapitre d'ouvrage</w:t>
            </w:r>
          </w:p>
          <w:p>
            <w:pPr/>
            <w:hyperlink r:id="rId69" w:history="1">
              <w:r>
                <w:rPr>
                  <w:color w:val="#410a8c"/>
                  <w:u w:val="single"/>
                </w:rPr>
                <w:t xml:space="preserve">hal-03349027v1</w:t>
              </w:r>
            </w:hyperlink>
          </w:p>
        </w:tc>
      </w:tr>
      <w:tr>
        <w:trPr/>
        <w:tc>
          <w:tcPr>
            <w:noWrap/>
          </w:tcPr>
          <w:p>
            <w:pPr>
              <w:spacing w:after="200"/>
            </w:pPr>
            <w:hyperlink r:id="rId70" w:history="1">
              <w:r>
                <w:rPr>
                  <w:color w:val="1e198e"/>
                  <w:b w:val="1"/>
                  <w:bCs w:val="1"/>
                  <w:u w:val="single"/>
                </w:rPr>
                <w:t xml:space="preserve">Notice « Environnement institutionnel », dans M. TOUZEIL-DIVINA (Dir.), Initiation au droit. Introduction encyclopédique aux études et métiers juridiques, Paris, L.G.D.J., hors collection, juillet 2011</w:t>
              </w:r>
            </w:hyperlink>
          </w:p>
          <w:p>
            <w:pPr/>
            <w:hyperlink r:id="rId8" w:history="1">
              <w:r>
                <w:rPr>
                  <w:color w:val="#410a8c"/>
                  <w:u w:val="single"/>
                </w:rPr>
                <w:t xml:space="preserve">Benjamin Ricou</w:t>
              </w:r>
            </w:hyperlink>
            <w:r>
              <w:rPr/>
              <w:t xml:space="preserve">,</w:t>
            </w:r>
            <w:hyperlink r:id="rId47" w:history="1">
              <w:r>
                <w:rPr>
                  <w:color w:val="#410a8c"/>
                  <w:u w:val="single"/>
                </w:rPr>
                <w:t xml:space="preserve">Mathieu Touzeil-Divina</w:t>
              </w:r>
            </w:hyperlink>
          </w:p>
          <w:p>
            <w:pPr/>
            <w:r>
              <w:rPr>
                <w:i w:val="1"/>
                <w:iCs w:val="1"/>
              </w:rPr>
              <w:t xml:space="preserve">Initiation au droit. Introduction encyclopédique aux études et métiers juridiques</w:t>
            </w:r>
            <w:r>
              <w:rPr/>
              <w:t xml:space="preserve">, 2011</w:t>
            </w:r>
          </w:p>
          <w:p>
            <w:pPr/>
            <w:r>
              <w:rPr/>
              <w:t xml:space="preserve">Chapitre d'ouvrage</w:t>
            </w:r>
          </w:p>
          <w:p>
            <w:pPr/>
            <w:hyperlink r:id="rId70" w:history="1">
              <w:r>
                <w:rPr>
                  <w:color w:val="#410a8c"/>
                  <w:u w:val="single"/>
                </w:rPr>
                <w:t xml:space="preserve">hal-03349089v1</w:t>
              </w:r>
            </w:hyperlink>
          </w:p>
        </w:tc>
      </w:tr>
      <w:tr>
        <w:trPr/>
        <w:tc>
          <w:tcPr>
            <w:noWrap/>
          </w:tcPr>
          <w:p>
            <w:pPr>
              <w:spacing w:after="200"/>
            </w:pPr>
            <w:hyperlink r:id="rId71" w:history="1">
              <w:r>
                <w:rPr>
                  <w:color w:val="1e198e"/>
                  <w:b w:val="1"/>
                  <w:bCs w:val="1"/>
                  <w:u w:val="single"/>
                </w:rPr>
                <w:t xml:space="preserve">Notice « Droit des contrats (de droit privé et administratif) », dans M. TOUZEIL-DIVINA (Dir.), Initiation au droit. Introduction encyclopédique aux études et métiers juridiques, Paris, L.G.D.J., hors collection, juillet 2011</w:t>
              </w:r>
            </w:hyperlink>
          </w:p>
          <w:p>
            <w:pPr/>
            <w:hyperlink r:id="rId8" w:history="1">
              <w:r>
                <w:rPr>
                  <w:color w:val="#410a8c"/>
                  <w:u w:val="single"/>
                </w:rPr>
                <w:t xml:space="preserve">Benjamin Ricou</w:t>
              </w:r>
            </w:hyperlink>
            <w:r>
              <w:rPr/>
              <w:t xml:space="preserve">,</w:t>
            </w:r>
            <w:hyperlink r:id="rId72" w:history="1">
              <w:r>
                <w:rPr>
                  <w:color w:val="#410a8c"/>
                  <w:u w:val="single"/>
                </w:rPr>
                <w:t xml:space="preserve">Philippe Terneyre</w:t>
              </w:r>
            </w:hyperlink>
          </w:p>
          <w:p>
            <w:pPr/>
            <w:r>
              <w:rPr>
                <w:i w:val="1"/>
                <w:iCs w:val="1"/>
              </w:rPr>
              <w:t xml:space="preserve">Initiation au droit. Introduction encyclopédique aux études et métiers juridiques</w:t>
            </w:r>
            <w:r>
              <w:rPr/>
              <w:t xml:space="preserve">, 2011</w:t>
            </w:r>
          </w:p>
          <w:p>
            <w:pPr/>
            <w:r>
              <w:rPr/>
              <w:t xml:space="preserve">Chapitre d'ouvrage</w:t>
            </w:r>
          </w:p>
          <w:p>
            <w:pPr/>
            <w:hyperlink r:id="rId71" w:history="1">
              <w:r>
                <w:rPr>
                  <w:color w:val="#410a8c"/>
                  <w:u w:val="single"/>
                </w:rPr>
                <w:t xml:space="preserve">hal-03349086v1</w:t>
              </w:r>
            </w:hyperlink>
          </w:p>
        </w:tc>
      </w:tr>
      <w:tr>
        <w:trPr/>
        <w:tc>
          <w:tcPr>
            <w:noWrap/>
          </w:tcPr>
          <w:p>
            <w:pPr>
              <w:spacing w:after="200"/>
            </w:pPr>
            <w:hyperlink r:id="rId73" w:history="1">
              <w:r>
                <w:rPr>
                  <w:color w:val="1e198e"/>
                  <w:b w:val="1"/>
                  <w:bCs w:val="1"/>
                  <w:u w:val="single"/>
                </w:rPr>
                <w:t xml:space="preserve">« Irresponsabilité de la puissance publique » (en collaboration avec Denys de BECHILLON), Rep. resp. puiss. publ. Dalloz, 2011 (27 p.)</w:t>
              </w:r>
            </w:hyperlink>
          </w:p>
          <w:p>
            <w:pPr/>
            <w:hyperlink r:id="rId8" w:history="1">
              <w:r>
                <w:rPr>
                  <w:color w:val="#410a8c"/>
                  <w:u w:val="single"/>
                </w:rPr>
                <w:t xml:space="preserve">Benjamin Ricou</w:t>
              </w:r>
            </w:hyperlink>
            <w:r>
              <w:rPr/>
              <w:t xml:space="preserve">,</w:t>
            </w:r>
            <w:hyperlink r:id="rId74" w:history="1">
              <w:r>
                <w:rPr>
                  <w:color w:val="#410a8c"/>
                  <w:u w:val="single"/>
                </w:rPr>
                <w:t xml:space="preserve">Denys Béchillon (de)</w:t>
              </w:r>
            </w:hyperlink>
          </w:p>
          <w:p>
            <w:pPr/>
            <w:r>
              <w:rPr>
                <w:i w:val="1"/>
                <w:iCs w:val="1"/>
              </w:rPr>
              <w:t xml:space="preserve">Répertoire de responsabilité de la puissance publique</w:t>
            </w:r>
            <w:r>
              <w:rPr/>
              <w:t xml:space="preserve">, 2011</w:t>
            </w:r>
          </w:p>
          <w:p>
            <w:pPr/>
            <w:r>
              <w:rPr/>
              <w:t xml:space="preserve">Chapitre d'ouvrage</w:t>
            </w:r>
          </w:p>
          <w:p>
            <w:pPr/>
            <w:hyperlink r:id="rId73" w:history="1">
              <w:r>
                <w:rPr>
                  <w:color w:val="#410a8c"/>
                  <w:u w:val="single"/>
                </w:rPr>
                <w:t xml:space="preserve">hal-03349082v1</w:t>
              </w:r>
            </w:hyperlink>
          </w:p>
        </w:tc>
      </w:tr>
      <w:tr>
        <w:trPr/>
        <w:tc>
          <w:tcPr>
            <w:noWrap/>
          </w:tcPr>
          <w:p>
            <w:pPr>
              <w:spacing w:after="200"/>
            </w:pPr>
            <w:hyperlink r:id="rId75" w:history="1">
              <w:r>
                <w:rPr>
                  <w:color w:val="1e198e"/>
                  <w:b w:val="1"/>
                  <w:bCs w:val="1"/>
                  <w:u w:val="single"/>
                </w:rPr>
                <w:t xml:space="preserve">« Infraction pénale et juge administratif : questions de compétence juridictionnelle », dans S. NIQUEGE (Dir.), L’infraction pénale en droit public, Paris, L’Harmattan, coll. « Bibliothèques de droit », 2010, pp. 10-27.</w:t>
              </w:r>
            </w:hyperlink>
          </w:p>
          <w:p>
            <w:pPr/>
            <w:hyperlink r:id="rId8" w:history="1">
              <w:r>
                <w:rPr>
                  <w:color w:val="#410a8c"/>
                  <w:u w:val="single"/>
                </w:rPr>
                <w:t xml:space="preserve">Benjamin Ricou</w:t>
              </w:r>
            </w:hyperlink>
          </w:p>
          <w:p>
            <w:pPr/>
            <w:r>
              <w:rPr>
                <w:i w:val="1"/>
                <w:iCs w:val="1"/>
              </w:rPr>
              <w:t xml:space="preserve">L’infraction pénale en droit public</w:t>
            </w:r>
            <w:r>
              <w:rPr/>
              <w:t xml:space="preserve">, 2010</w:t>
            </w:r>
          </w:p>
          <w:p>
            <w:pPr/>
            <w:r>
              <w:rPr/>
              <w:t xml:space="preserve">Chapitre d'ouvrage</w:t>
            </w:r>
          </w:p>
          <w:p>
            <w:pPr/>
            <w:hyperlink r:id="rId75" w:history="1">
              <w:r>
                <w:rPr>
                  <w:color w:val="#410a8c"/>
                  <w:u w:val="single"/>
                </w:rPr>
                <w:t xml:space="preserve">hal-03349035v1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2135v1" TargetMode="External"/><Relationship Id="rId8" Type="http://schemas.openxmlformats.org/officeDocument/2006/relationships/hyperlink" Target="https://hal.science/search/index/?q=*&amp;authFullName_s=Benjamin Ricou" TargetMode="External"/><Relationship Id="rId9" Type="http://schemas.openxmlformats.org/officeDocument/2006/relationships/hyperlink" Target="https://hal.science/hal-05293388v1" TargetMode="External"/><Relationship Id="rId10" Type="http://schemas.openxmlformats.org/officeDocument/2006/relationships/hyperlink" Target="https://hal.univ-lorraine.fr/hal-05593649v1" TargetMode="External"/><Relationship Id="rId11" Type="http://schemas.openxmlformats.org/officeDocument/2006/relationships/hyperlink" Target="https://hal.science/search/index/?q=*&amp;authFullName_s=Lukasz Stankiewicz" TargetMode="External"/><Relationship Id="rId12" Type="http://schemas.openxmlformats.org/officeDocument/2006/relationships/hyperlink" Target="https://hal.science/search/index/?q=*&amp;authFullName_s=Christelle Ballandras-Rozet" TargetMode="External"/><Relationship Id="rId13" Type="http://schemas.openxmlformats.org/officeDocument/2006/relationships/hyperlink" Target="https://hal.science/search/index/?q=*&amp;authFullName_s=Damien Catteau" TargetMode="External"/><Relationship Id="rId14" Type="http://schemas.openxmlformats.org/officeDocument/2006/relationships/hyperlink" Target="https://hal.science/search/index/?q=*&amp;authFullName_s=Aur&#233;lie Dort" TargetMode="External"/><Relationship Id="rId15" Type="http://schemas.openxmlformats.org/officeDocument/2006/relationships/hyperlink" Target="https://hal.univ-lorraine.fr/hal-03974931v1" TargetMode="External"/><Relationship Id="rId16" Type="http://schemas.openxmlformats.org/officeDocument/2006/relationships/hyperlink" Target="https://hal.science/search/index/?q=*&amp;authFullName_s=Messaoud Saoudi" TargetMode="External"/><Relationship Id="rId17" Type="http://schemas.openxmlformats.org/officeDocument/2006/relationships/hyperlink" Target="https://lilloa.hal.science/hal-03659438v1" TargetMode="External"/><Relationship Id="rId18" Type="http://schemas.openxmlformats.org/officeDocument/2006/relationships/hyperlink" Target="https://hal.science/search/index/?q=*&amp;authFullName_s=Aurelien Baudu" TargetMode="External"/><Relationship Id="rId19" Type="http://schemas.openxmlformats.org/officeDocument/2006/relationships/hyperlink" Target="https://hal.science/search/index/?q=*&amp;authFullName_s=Anna Zachayus" TargetMode="External"/><Relationship Id="rId20" Type="http://schemas.openxmlformats.org/officeDocument/2006/relationships/hyperlink" Target="https://hal.science/search/index/?q=*&amp;authFullName_s=Damien Falco" TargetMode="External"/><Relationship Id="rId21" Type="http://schemas.openxmlformats.org/officeDocument/2006/relationships/hyperlink" Target="https://lilloa.hal.science/hal-03208119v1" TargetMode="External"/><Relationship Id="rId22" Type="http://schemas.openxmlformats.org/officeDocument/2006/relationships/hyperlink" Target="https://hal.science/search/index/?q=*&amp;authFullName_s=David Ytier" TargetMode="External"/><Relationship Id="rId23" Type="http://schemas.openxmlformats.org/officeDocument/2006/relationships/hyperlink" Target="https://univ-lyon3.hal.science/hal-04159589v1" TargetMode="External"/><Relationship Id="rId24" Type="http://schemas.openxmlformats.org/officeDocument/2006/relationships/hyperlink" Target="https://hal.univ-lorraine.fr/hal-03539853v1" TargetMode="External"/><Relationship Id="rId25" Type="http://schemas.openxmlformats.org/officeDocument/2006/relationships/hyperlink" Target="https://univ-lyon3.hal.science/hal-04159584v1" TargetMode="External"/><Relationship Id="rId26" Type="http://schemas.openxmlformats.org/officeDocument/2006/relationships/hyperlink" Target="https://univ-lyon3.hal.science/hal-03349051v1" TargetMode="External"/><Relationship Id="rId27" Type="http://schemas.openxmlformats.org/officeDocument/2006/relationships/hyperlink" Target="https://univ-lyon3.hal.science/hal-03349053v1" TargetMode="External"/><Relationship Id="rId28" Type="http://schemas.openxmlformats.org/officeDocument/2006/relationships/hyperlink" Target="https://univ-lyon3.hal.science/hal-03349056v1" TargetMode="External"/><Relationship Id="rId29" Type="http://schemas.openxmlformats.org/officeDocument/2006/relationships/hyperlink" Target="https://univ-lyon3.hal.science/hal-03349058v1" TargetMode="External"/><Relationship Id="rId30" Type="http://schemas.openxmlformats.org/officeDocument/2006/relationships/hyperlink" Target="https://univ-lyon3.hal.science/hal-03349059v1" TargetMode="External"/><Relationship Id="rId31" Type="http://schemas.openxmlformats.org/officeDocument/2006/relationships/hyperlink" Target="https://univ-lyon3.hal.science/hal-03349063v1" TargetMode="External"/><Relationship Id="rId32" Type="http://schemas.openxmlformats.org/officeDocument/2006/relationships/hyperlink" Target="https://univ-lyon3.hal.science/hal-03349064v1" TargetMode="External"/><Relationship Id="rId33" Type="http://schemas.openxmlformats.org/officeDocument/2006/relationships/hyperlink" Target="https://univ-lyon3.hal.science/hal-03349019v1" TargetMode="External"/><Relationship Id="rId34" Type="http://schemas.openxmlformats.org/officeDocument/2006/relationships/hyperlink" Target="https://univ-lyon3.hal.science/hal-03349066v1" TargetMode="External"/><Relationship Id="rId35" Type="http://schemas.openxmlformats.org/officeDocument/2006/relationships/hyperlink" Target="https://univ-lyon3.hal.science/hal-03349069v1" TargetMode="External"/><Relationship Id="rId36" Type="http://schemas.openxmlformats.org/officeDocument/2006/relationships/hyperlink" Target="https://univ-lyon3.hal.science/hal-03349074v1" TargetMode="External"/><Relationship Id="rId37" Type="http://schemas.openxmlformats.org/officeDocument/2006/relationships/hyperlink" Target="https://univ-lyon3.hal.science/hal-03349077v1" TargetMode="External"/><Relationship Id="rId38" Type="http://schemas.openxmlformats.org/officeDocument/2006/relationships/hyperlink" Target="https://univ-lyon3.hal.science/hal-03349031v1" TargetMode="External"/><Relationship Id="rId39" Type="http://schemas.openxmlformats.org/officeDocument/2006/relationships/hyperlink" Target="https://shs.hal.science/halshs-02243173v1" TargetMode="External"/><Relationship Id="rId40" Type="http://schemas.openxmlformats.org/officeDocument/2006/relationships/hyperlink" Target="https://univ-lyon3.hal.science/hal-03349038v1" TargetMode="External"/><Relationship Id="rId41" Type="http://schemas.openxmlformats.org/officeDocument/2006/relationships/hyperlink" Target="https://shs.hal.science/halshs-02243051v1" TargetMode="External"/><Relationship Id="rId42" Type="http://schemas.openxmlformats.org/officeDocument/2006/relationships/hyperlink" Target="https://univ-lyon3.hal.science/hal-03348993v1" TargetMode="External"/><Relationship Id="rId43" Type="http://schemas.openxmlformats.org/officeDocument/2006/relationships/hyperlink" Target="https://univ-lyon3.hal.science/hal-03984732v1" TargetMode="External"/><Relationship Id="rId44" Type="http://schemas.openxmlformats.org/officeDocument/2006/relationships/hyperlink" Target="https://univ-lyon3.hal.science/hal-03348972v1" TargetMode="External"/><Relationship Id="rId45" Type="http://schemas.openxmlformats.org/officeDocument/2006/relationships/hyperlink" Target="https://univ-lyon3.hal.science/hal-03348999v1" TargetMode="External"/><Relationship Id="rId46" Type="http://schemas.openxmlformats.org/officeDocument/2006/relationships/hyperlink" Target="https://univ-lyon3.hal.science/hal-03349113v1" TargetMode="External"/><Relationship Id="rId47" Type="http://schemas.openxmlformats.org/officeDocument/2006/relationships/hyperlink" Target="https://hal.science/search/index/?q=*&amp;authFullName_s=Mathieu Touzeil-Divina" TargetMode="External"/><Relationship Id="rId48" Type="http://schemas.openxmlformats.org/officeDocument/2006/relationships/hyperlink" Target="https://hal.science/hal-05592140v1" TargetMode="External"/><Relationship Id="rId49" Type="http://schemas.openxmlformats.org/officeDocument/2006/relationships/hyperlink" Target="https://hal.science/hal-05293385v1" TargetMode="External"/><Relationship Id="rId50" Type="http://schemas.openxmlformats.org/officeDocument/2006/relationships/hyperlink" Target="https://hal.science/hal-04758251v1" TargetMode="External"/><Relationship Id="rId51" Type="http://schemas.openxmlformats.org/officeDocument/2006/relationships/hyperlink" Target="https://hal.science/hal-04758235v1" TargetMode="External"/><Relationship Id="rId52" Type="http://schemas.openxmlformats.org/officeDocument/2006/relationships/hyperlink" Target="https://univ-lyon3.hal.science/hal-04858358v1" TargetMode="External"/><Relationship Id="rId53" Type="http://schemas.openxmlformats.org/officeDocument/2006/relationships/hyperlink" Target="https://hal.science/hal-04758167v1" TargetMode="External"/><Relationship Id="rId54" Type="http://schemas.openxmlformats.org/officeDocument/2006/relationships/hyperlink" Target="https://hal.science/hal-04758202v1" TargetMode="External"/><Relationship Id="rId55" Type="http://schemas.openxmlformats.org/officeDocument/2006/relationships/hyperlink" Target="https://univ-lyon3.hal.science/hal-04858353v1" TargetMode="External"/><Relationship Id="rId56" Type="http://schemas.openxmlformats.org/officeDocument/2006/relationships/hyperlink" Target="https://hal.science/hal-04758185v1" TargetMode="External"/><Relationship Id="rId57" Type="http://schemas.openxmlformats.org/officeDocument/2006/relationships/hyperlink" Target="https://hal.science/hal-04758206v1" TargetMode="External"/><Relationship Id="rId58" Type="http://schemas.openxmlformats.org/officeDocument/2006/relationships/hyperlink" Target="https://hal.science/hal-04758189v1" TargetMode="External"/><Relationship Id="rId59" Type="http://schemas.openxmlformats.org/officeDocument/2006/relationships/hyperlink" Target="https://hal.science/hal-04758192v1" TargetMode="External"/><Relationship Id="rId60" Type="http://schemas.openxmlformats.org/officeDocument/2006/relationships/hyperlink" Target="https://hal.science/hal-04758154v1" TargetMode="External"/><Relationship Id="rId61" Type="http://schemas.openxmlformats.org/officeDocument/2006/relationships/hyperlink" Target="https://hal.science/hal-04758214v1" TargetMode="External"/><Relationship Id="rId62" Type="http://schemas.openxmlformats.org/officeDocument/2006/relationships/hyperlink" Target="https://hal.science/hal-04758220v1" TargetMode="External"/><Relationship Id="rId63" Type="http://schemas.openxmlformats.org/officeDocument/2006/relationships/hyperlink" Target="https://univ-lyon3.hal.science/hal-04858347v1" TargetMode="External"/><Relationship Id="rId64" Type="http://schemas.openxmlformats.org/officeDocument/2006/relationships/hyperlink" Target="https://univ-lyon3.hal.science/hal-03349046v1" TargetMode="External"/><Relationship Id="rId65" Type="http://schemas.openxmlformats.org/officeDocument/2006/relationships/hyperlink" Target="https://univ-lyon3.hal.science/hal-03349044v1" TargetMode="External"/><Relationship Id="rId66" Type="http://schemas.openxmlformats.org/officeDocument/2006/relationships/hyperlink" Target="https://univ-lyon3.hal.science/hal-03349006v1" TargetMode="External"/><Relationship Id="rId67" Type="http://schemas.openxmlformats.org/officeDocument/2006/relationships/hyperlink" Target="https://univ-lyon3.hal.science/hal-03349022v1" TargetMode="External"/><Relationship Id="rId68" Type="http://schemas.openxmlformats.org/officeDocument/2006/relationships/hyperlink" Target="https://univ-lyon3.hal.science/hal-03349023v1" TargetMode="External"/><Relationship Id="rId69" Type="http://schemas.openxmlformats.org/officeDocument/2006/relationships/hyperlink" Target="https://univ-lyon3.hal.science/hal-03349027v1" TargetMode="External"/><Relationship Id="rId70" Type="http://schemas.openxmlformats.org/officeDocument/2006/relationships/hyperlink" Target="https://univ-lyon3.hal.science/hal-03349089v1" TargetMode="External"/><Relationship Id="rId71" Type="http://schemas.openxmlformats.org/officeDocument/2006/relationships/hyperlink" Target="https://univ-lyon3.hal.science/hal-03349086v1" TargetMode="External"/><Relationship Id="rId72" Type="http://schemas.openxmlformats.org/officeDocument/2006/relationships/hyperlink" Target="https://hal.science/search/index/?q=*&amp;authFullName_s=Philippe Terneyre" TargetMode="External"/><Relationship Id="rId73" Type="http://schemas.openxmlformats.org/officeDocument/2006/relationships/hyperlink" Target="https://univ-lyon3.hal.science/hal-03349082v1" TargetMode="External"/><Relationship Id="rId74" Type="http://schemas.openxmlformats.org/officeDocument/2006/relationships/hyperlink" Target="https://hal.science/search/index/?q=*&amp;authFullName_s=Denys B&#233;chillon (de)" TargetMode="External"/><Relationship Id="rId75" Type="http://schemas.openxmlformats.org/officeDocument/2006/relationships/hyperlink" Target="https://univ-lyon3.hal.science/hal-0334903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RICOU</dc:title>
  <dc:description>CV</dc:description>
  <dc:subject/>
  <cp:keywords/>
  <cp:category/>
  <cp:lastModifiedBy/>
  <dcterms:created xsi:type="dcterms:W3CDTF">2026-05-28T11:51:24+02:00</dcterms:created>
  <dcterms:modified xsi:type="dcterms:W3CDTF">2026-05-28T11:51:24+02:00</dcterms:modified>
</cp:coreProperties>
</file>

<file path=docProps/custom.xml><?xml version="1.0" encoding="utf-8"?>
<Properties xmlns="http://schemas.openxmlformats.org/officeDocument/2006/custom-properties" xmlns:vt="http://schemas.openxmlformats.org/officeDocument/2006/docPropsVTypes"/>
</file>