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 FATHALLAH </w:t>
      </w:r>
      <w:r>
        <w:rPr>
          <w:color w:val="641e6e"/>
        </w:rPr>
        <w:t xml:space="preserve">Doctorant chercheur en entreprenariat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bfathallah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as an inclusion strategy Case study: The third phase of National Initiative for Human Development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Fathallah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Social Science Invention (IJHSSI)</w:t>
            </w:r>
            <w:r>
              <w:rPr/>
              <w:t xml:space="preserve">, 2023, 12 (Issue 4), pp.74-78.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⟨10.35629/7722-12047478⟩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hal-04193853v1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fathallah" TargetMode="External"/><Relationship Id="rId8" Type="http://schemas.openxmlformats.org/officeDocument/2006/relationships/hyperlink" Target="https://hal.science/hal-04193853v1" TargetMode="External"/><Relationship Id="rId9" Type="http://schemas.openxmlformats.org/officeDocument/2006/relationships/hyperlink" Target="https://hal.science/search/index/?q=*&amp;authFullName_s=Fathallah Brahim" TargetMode="External"/><Relationship Id="rId10" Type="http://schemas.openxmlformats.org/officeDocument/2006/relationships/hyperlink" Target="https://dx.doi.org/10.35629/7722-1204747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FATHALLAH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