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GALLAND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Bruno Roger Marie GALLAND</w:t>
      </w:r>
    </w:p>
    <w:p>
      <w:pPr/>
      <w:r>
        <w:rPr/>
        <w:t xml:space="preserve">Né le 6 mars 1964 à Lyon (Rhône)</w:t>
      </w:r>
    </w:p>
    <w:p>
      <w:pPr/>
      <w:r>
        <w:rPr/>
        <w:t xml:space="preserve">Adresse professionnelle : Archives du département du Rhône et de la métropole de Lyon, 34 rue général Mouton-Duvernet, 69003 Lyon. Mel </w:t>
      </w:r>
      <w:hyperlink r:id="rId8" w:history="1">
        <w:r>
          <w:rPr>
            <w:color w:val="#410a8c"/>
            <w:u w:val="single"/>
          </w:rPr>
          <w:t xml:space="preserve">bruno.galland@rhone.fr</w:t>
        </w:r>
      </w:hyperlink>
      <w:r>
        <w:rPr/>
        <w:t xml:space="preserve"> – tél. 04 72 35 35 01 - 06 14 26 36 67</w:t>
      </w:r>
    </w:p>
    <w:p>
      <w:pPr>
        <w:pStyle w:val="Heading1"/>
      </w:pPr>
      <w:r>
        <w:rPr/>
        <w:t xml:space="preserve">Diplômes obtenus, titres universitaires.</w:t>
      </w:r>
    </w:p>
    <w:p>
      <w:pPr/>
      <w:r>
        <w:rPr/>
        <w:t xml:space="preserve">Archiviste paléographe (1987). Docteur en histoire (1992).</w:t>
      </w:r>
    </w:p>
    <w:p>
      <w:pPr/>
      <w:r>
        <w:rPr/>
        <w:t xml:space="preserve">Ancien membre de l’École française de Rome (de 1992 à 1995).</w:t>
      </w:r>
    </w:p>
    <w:p>
      <w:pPr>
        <w:pStyle w:val="Heading1"/>
      </w:pPr>
      <w:r>
        <w:rPr/>
        <w:t xml:space="preserve">Distinctions honorifiques.</w:t>
      </w:r>
    </w:p>
    <w:p>
      <w:pPr/>
      <w:r>
        <w:rPr/>
        <w:t xml:space="preserve">Chevalier dans l'Ordre national du Mérite. Chevalier dans l’Ordre national des Arts et des Lettres.</w:t>
      </w:r>
    </w:p>
    <w:p>
      <w:pPr>
        <w:pStyle w:val="Heading1"/>
      </w:pPr>
      <w:r>
        <w:rPr/>
        <w:t xml:space="preserve">Conservation du patrimoine.</w:t>
      </w:r>
    </w:p>
    <w:p>
      <w:pPr/>
      <w:r>
        <w:rPr/>
        <w:t xml:space="preserve">Depuis 2014 : Directeur des archives du département du Rhône et de la métropole de Lyon, conservateur des antiquités et objets d'art.</w:t>
      </w:r>
    </w:p>
    <w:p>
      <w:pPr/>
      <w:r>
        <w:rPr/>
        <w:t xml:space="preserve">2012-2014 : Directeur des publics des Archives nationales (sites de Paris, Pierrefitte, Fontainebleau).</w:t>
      </w:r>
    </w:p>
    <w:p>
      <w:pPr/>
      <w:r>
        <w:rPr/>
        <w:t xml:space="preserve">2008-2012 : Directeur scientifique des Archives nationales, site de Paris.</w:t>
      </w:r>
    </w:p>
    <w:p>
      <w:pPr/>
      <w:r>
        <w:rPr/>
        <w:t xml:space="preserve">2005-2008 : Responsable du département de l’orientation et de la communication des Arch. nationales</w:t>
      </w:r>
    </w:p>
    <w:p>
      <w:pPr/>
      <w:r>
        <w:rPr/>
        <w:t xml:space="preserve">1999-2005 : Responsable de la section ancienne des Archives nationales.</w:t>
      </w:r>
    </w:p>
    <w:p>
      <w:pPr/>
      <w:r>
        <w:rPr/>
        <w:t xml:space="preserve">1995-1998 : Conservateur au service technique de la direction des Archives de France.</w:t>
      </w:r>
    </w:p>
    <w:p>
      <w:pPr/>
      <w:r>
        <w:rPr/>
        <w:t xml:space="preserve">1991-1992 : Chef du bureau des archives du ministère de l’Agriculture.</w:t>
      </w:r>
    </w:p>
    <w:p>
      <w:pPr/>
      <w:r>
        <w:rPr/>
        <w:t xml:space="preserve">1988-1991 : Conservateur à la section des missions des Archives nationales.</w:t>
      </w:r>
    </w:p>
    <w:p>
      <w:pPr>
        <w:pStyle w:val="Heading1"/>
      </w:pPr>
      <w:r>
        <w:rPr/>
        <w:t xml:space="preserve">Enseignement.</w:t>
      </w:r>
    </w:p>
    <w:p>
      <w:pPr/>
      <w:r>
        <w:rPr/>
        <w:t xml:space="preserve">Depuis 2011 : Professeur associé à l’Université Paris IV (paléographie).</w:t>
      </w:r>
    </w:p>
    <w:p>
      <w:pPr/>
      <w:r>
        <w:rPr/>
        <w:t xml:space="preserve">2010-2014 : Chargé de cours à l’École nationale des chartes (géographie historique).</w:t>
      </w:r>
    </w:p>
    <w:p>
      <w:pPr/>
      <w:r>
        <w:rPr/>
        <w:t xml:space="preserve">1999-2011 : Chargé de cours à l’Université Paris IV (paléographie).</w:t>
      </w:r>
    </w:p>
    <w:p>
      <w:pPr/>
      <w:r>
        <w:rPr/>
        <w:t xml:space="preserve">2006-2010 : Membre du jury du concours d’entrée de l’École nat. des chartes (géographie historique).</w:t>
      </w:r>
    </w:p>
    <w:p>
      <w:pPr/>
      <w:r>
        <w:rPr/>
        <w:t xml:space="preserve">1995-2006 : Chargé de conférences à l’École pratique des hautes études, IVe section (paléographie).</w:t>
      </w:r>
    </w:p>
    <w:p>
      <w:pPr/>
      <w:r>
        <w:rPr/>
        <w:t xml:space="preserve">1995-1996 : Chargé de cours à l’Université Paris I (histoire médiévale).</w:t>
      </w:r>
    </w:p>
    <w:p>
      <w:pPr>
        <w:pStyle w:val="Heading1"/>
      </w:pPr>
      <w:r>
        <w:rPr/>
        <w:t xml:space="preserve">Autres activités.</w:t>
      </w:r>
    </w:p>
    <w:p>
      <w:pPr/>
      <w:r>
        <w:rPr/>
        <w:t xml:space="preserve">Membre du Comité des travaux historiques et scientifiques (depuis 2001).</w:t>
      </w:r>
    </w:p>
    <w:p>
      <w:pPr/>
      <w:r>
        <w:rPr/>
        <w:t xml:space="preserve">Membre du comité scientifique de la revue Patrimoines (depuis 2009).</w:t>
      </w:r>
    </w:p>
    <w:p>
      <w:pPr/>
      <w:r>
        <w:rPr/>
        <w:t xml:space="preserve">Membre d'honneur de l'académie de Villefranche et du Beaujolais (depuis 2013).</w:t>
      </w:r>
    </w:p>
    <w:p>
      <w:pPr/>
      <w:r>
        <w:rPr/>
        <w:t xml:space="preserve">Membre associé de l'académie des sciences, belles-lettres et arts de Lyon (depuis 2016).</w:t>
      </w:r>
    </w:p>
    <w:p>
      <w:pPr/>
      <w:r>
        <w:rPr/>
        <w:t xml:space="preserve">Membre du comité de rédaction de la Revue d'histoire de l'Église de France (depuis 1988).</w:t>
      </w:r>
    </w:p>
    <w:p>
      <w:pPr/>
      <w:r>
        <w:rPr/>
        <w:t xml:space="preserve">Secrétaire (2001-2009) puis vice-président (2009-2013) de l’association Une cité pour les Archives.</w:t>
      </w:r>
    </w:p>
    <w:p>
      <w:pPr/>
      <w:r>
        <w:rPr/>
        <w:t xml:space="preserve">Membre du comité sur les normes de description du Conseil international des archives (1996-2004).</w:t>
      </w:r>
    </w:p>
    <w:p>
      <w:pPr/>
      <w:r>
        <w:rPr/>
        <w:t xml:space="preserve">Président (depuis 2015) de l’Union des sociétés historiques du Rhône.</w:t>
      </w:r>
    </w:p>
    <w:p>
      <w:pPr>
        <w:pStyle w:val="Heading1"/>
      </w:pPr>
      <w:r>
        <w:rPr/>
        <w:t xml:space="preserve">Publications.</w:t>
      </w:r>
    </w:p>
    <w:p>
      <w:pPr>
        <w:pStyle w:val="Heading2"/>
      </w:pPr>
      <w:r>
        <w:rPr/>
        <w:t xml:space="preserve">I. Histoire médiévale</w:t>
      </w:r>
    </w:p>
    <w:p>
      <w:pPr>
        <w:pStyle w:val="Heading3"/>
      </w:pPr>
      <w:r>
        <w:rPr/>
        <w:t xml:space="preserve">OUVRAGES</w:t>
      </w:r>
    </w:p>
    <w:p>
      <w:pPr/>
      <w:r>
        <w:rPr/>
        <w:t xml:space="preserve">1. Deux archevêchés entre la France et l'Empire. Les archevêques de Lyon et les archevêques de Vienne, du milieu du XIIe siècle au milieu du XIVe s., préf. de Robert-Henri Bautier, Paris, 1994 (Bibliothèque des écoles françaises d'Athènes et de Rome, 282).</w:t>
      </w:r>
    </w:p>
    <w:p>
      <w:pPr/>
      <w:r>
        <w:rPr/>
        <w:t xml:space="preserve">Ouvrage couronné par le 2e prix Gobert de l'Académie des Inscriptions et Belles Lettres, 1995.</w:t>
      </w:r>
    </w:p>
    <w:p>
      <w:pPr/>
      <w:r>
        <w:rPr/>
        <w:t xml:space="preserve">2. Les papes d'Avignon et la maison de Savoie, 1309-1409, Paris, 1998 (Collection de l'École française de Rome, 247).</w:t>
      </w:r>
    </w:p>
    <w:p>
      <w:pPr/>
      <w:r>
        <w:rPr/>
        <w:t xml:space="preserve">3. Les authentiques de reliques du Sancta Sanctorum, Cité du Vatican, 2004 (Studi e Testi, 421).</w:t>
      </w:r>
    </w:p>
    <w:p>
      <w:pPr/>
      <w:r>
        <w:rPr/>
        <w:t xml:space="preserve">4. (En collaboration avec Bernard Berthod, Jacqueline Boucher, Régis Ladous et André Pelletier), Archevêques de Lyon, préf. du cardinal Barbarin, Lyon, 2012.</w:t>
      </w:r>
    </w:p>
    <w:p>
      <w:pPr/>
      <w:r>
        <w:rPr/>
        <w:t xml:space="preserve">5. Philippe Auguste : le bâtisseur du royaume, Paris : Belin, 2014 (coll. Portraits).</w:t>
      </w:r>
    </w:p>
    <w:p>
      <w:pPr>
        <w:pStyle w:val="Heading3"/>
      </w:pPr>
      <w:r>
        <w:rPr/>
        <w:t xml:space="preserve">ARTICLES</w:t>
      </w:r>
    </w:p>
    <w:p>
      <w:pPr/>
      <w:r>
        <w:rPr/>
        <w:t xml:space="preserve">1. &amp;quot;Un Savoyard sur le siège de Lyon au XIIIe siècle, Philippe de Savoie&amp;quot;, dans Bibliothèque de l'Ecole des Chartes, t. 146, 1988, p. 31-67.</w:t>
      </w:r>
    </w:p>
    <w:p>
      <w:pPr/>
      <w:r>
        <w:rPr/>
        <w:t xml:space="preserve">2. &amp;quot;La primatie des églises de Lyon et de Vienne&amp;quot;, dans Evocations : patrimoine de l'Isère, nouvelle série, 5e année, n° 1, 1988, p. 11-17.</w:t>
      </w:r>
    </w:p>
    <w:p>
      <w:pPr/>
      <w:r>
        <w:rPr/>
        <w:t xml:space="preserve">3. &amp;quot;Renaud de Forez, homme d'Eglise&amp;quot;, dans Anse et sa région. Actes des journées d’études 1886 de l'Union des sociétés historiques du Rhône, Lyon, 1988, p. 25-31.</w:t>
      </w:r>
    </w:p>
    <w:p>
      <w:pPr/>
      <w:r>
        <w:rPr/>
        <w:t xml:space="preserve">4. Collaboration au Cahier paléographique des Archives nationales, Paris, 1989.</w:t>
      </w:r>
    </w:p>
    <w:p>
      <w:pPr/>
      <w:r>
        <w:rPr/>
        <w:t xml:space="preserve">5. &amp;quot;Le rôle politique d'un chapitre cathédral : l'exercice de la juridiction séculière à Lyon, XIIe-XIVe siècles&amp;quot;, dans Revue d'histoire de l'église de France, t. LXXV, n° 195, 1989, p. 273-296.</w:t>
      </w:r>
    </w:p>
    <w:p>
      <w:pPr/>
      <w:r>
        <w:rPr/>
        <w:t xml:space="preserve">6. &amp;quot;Un diocèse face à l'autorité métropolitaine : l'exemple de Langres du XIIe au XIVe siècle&amp;quot;, dans Cahiers haut-marnais, n° 176, 1989, p. 1-12.</w:t>
      </w:r>
    </w:p>
    <w:p>
      <w:pPr/>
      <w:r>
        <w:rPr/>
        <w:t xml:space="preserve">7. &amp;quot;Archevêché et comté de Lyon : développement et affirmation du pouvoir épiscopal&amp;quot;, dans Les pays de l'entre-deux au Moyen Âge : actes du 113e congrès national des sociétés savantes, 1988, Paris, 1990, p. 15-34.</w:t>
      </w:r>
    </w:p>
    <w:p>
      <w:pPr/>
      <w:r>
        <w:rPr/>
        <w:t xml:space="preserve">8. &amp;quot;Un problème de chronologie : la politique du comté de Forez sous la tutelle de l'archevêque Renaud de Forez&amp;quot;, dans Beaujeu et sa région. Actes des journées d’études 1988 de l'union des sociétés historiques du Rhône, Lyon, 1990, p. 47-55.</w:t>
      </w:r>
    </w:p>
    <w:p>
      <w:pPr/>
      <w:r>
        <w:rPr/>
        <w:t xml:space="preserve">9. &amp;quot;Mouvements urbains dans la vallée du Rhône, fin XIIe - début XIVe siècle : Vienne, Lyon, Romans&amp;quot;, dans Violence et contestation au Moyen Âge : actes du 114e congrès national des sociétés savantes, 1989, Paris, 1990, p. 185-206.</w:t>
      </w:r>
    </w:p>
    <w:p>
      <w:pPr/>
      <w:r>
        <w:rPr/>
        <w:t xml:space="preserve">10. &amp;quot;La seigneurie d'Oingt au Moyen Âge&amp;quot;, dans Chroniques du pays beaujolais. Bulletin de l'Académie de Villefranche-sur-Saône 1989-1990, 1991, p. 57-72.</w:t>
      </w:r>
    </w:p>
    <w:p>
      <w:pPr/>
      <w:r>
        <w:rPr/>
        <w:t xml:space="preserve">11. &amp;quot;Paroisse et paroissiens, Xe-XIIIe siècle&amp;quot;, dans Sources d'histoire médiévale, IXe-milieu du XIVe siècles, sous la direction de Ghislain Brunel et Elisabeth Lalou, Paris, 1992 (coll. &amp;quot;Textes essentiels&amp;quot;, Larousse).</w:t>
      </w:r>
    </w:p>
    <w:p>
      <w:pPr/>
      <w:r>
        <w:rPr/>
        <w:t xml:space="preserve">12. &amp;quot;Les coseigneurs de Châtillon d'Azergues au Moyen Âge&amp;quot;, dans Châtillon et sa région. Actes des journées d'études 1991 de l'union des sociétés historiques du Rhône, Lyon, 1992, p. 11-25.</w:t>
      </w:r>
    </w:p>
    <w:p>
      <w:pPr/>
      <w:r>
        <w:rPr/>
        <w:t xml:space="preserve">13. &amp;quot;Catastrophe naturelle et fiscalité pontificale : les orages de 1382 en Mâconnais&amp;quot;, dans Annales de Bourgogne, 65, 1993, p. 25-42.</w:t>
      </w:r>
    </w:p>
    <w:p>
      <w:pPr/>
      <w:r>
        <w:rPr/>
        <w:t xml:space="preserve">14. &amp;quot;Le rôle du comte de Savoie dans la &amp;quot;ligue&amp;quot; de Grégoire XI contre les Visconti, 1372-1374&amp;quot;, dans Mélanges de l'Ecole française de Rome. Moyen Âge, 105, 1993, p. 763-815.</w:t>
      </w:r>
    </w:p>
    <w:p>
      <w:pPr/>
      <w:r>
        <w:rPr/>
        <w:t xml:space="preserve">15. &amp;quot;Les hommes de culture dans la diplomatie pontificale au XIIIe siècle&amp;quot;, dans Mélanges de l'Ecole française de Rome. Moyen Âge, 108, 1996, p. 615-643.</w:t>
      </w:r>
    </w:p>
    <w:p>
      <w:pPr/>
      <w:r>
        <w:rPr/>
        <w:t xml:space="preserve">16. &amp;quot;La publication des registres de lettres pontificales par l’Ecole française de Rome&amp;quot;, dans Bibliothèque de l’Ecole des Chartes, 154, 1996, p. 627-634.</w:t>
      </w:r>
    </w:p>
    <w:p>
      <w:pPr/>
      <w:r>
        <w:rPr/>
        <w:t xml:space="preserve">17. &amp;quot;Les relations entre la France et l’Empire au XIIe siècle&amp;quot;, dans Die Staufer im Süden : Sizilien und das Reich, herausgegeben von Theo Kölzer, Sigmaringen, 1996, p. 57-82.</w:t>
      </w:r>
    </w:p>
    <w:p>
      <w:pPr/>
      <w:r>
        <w:rPr/>
        <w:t xml:space="preserve">18. &amp;quot;Le pouvoir et la ville dans les Etats de la maison de Savoie (XIIe-XIVe siècles)&amp;quot;, dans Actes du 120e congrès national des sociétés savantes, Aix-en-Provence 1995, la ville au Moyen Âge, Paris, 1998, II, p. 193-206.</w:t>
      </w:r>
    </w:p>
    <w:p>
      <w:pPr/>
      <w:r>
        <w:rPr/>
        <w:t xml:space="preserve">19. &amp;quot;L’Église et la maison de Savoie au XIIIe siècle, à partir des relations avec la papauté&amp;quot;, dans Pierre de Savoie, le petit Charlemagne, études réunies par A. Paravicini-Bagliani, B. Andenmatten et E. Pibiri, Lausanne, 2000 (Cahiers lausannois d’histoire médiévale, 27), p. 217-232.</w:t>
      </w:r>
    </w:p>
    <w:p>
      <w:pPr/>
      <w:r>
        <w:rPr/>
        <w:t xml:space="preserve">20. &amp;quot;La perception de l'espace politique savoyard au Moyen Âge&amp;quot;, dans Recherches régionales. Alpes Maritimes et contrées limitrophes, 2001, n° 157, p. 4-16.</w:t>
      </w:r>
    </w:p>
    <w:p>
      <w:pPr/>
      <w:r>
        <w:rPr/>
        <w:t xml:space="preserve">21. « Les publications des registres pontificaux par l’École française de Rome », Revue d’histoire de l’Eglise de France, t. 86, 2000, p. 645-656.</w:t>
      </w:r>
    </w:p>
    <w:p>
      <w:pPr/>
      <w:r>
        <w:rPr/>
        <w:t xml:space="preserve">22. « Le rôle du royaume de Bourgogne dans la réforme grégorienne », Sonderdruck aus Francia. Forschungen zur Westeuropäischen geschichte, 29/1, Mittelalter, p. 85-106.</w:t>
      </w:r>
    </w:p>
    <w:p>
      <w:pPr/>
      <w:r>
        <w:rPr/>
        <w:t xml:space="preserve">23. « In duarum viarum capite. Quelques itinéraires singuliers entre l’Église et l’État », Liber largitorius. Études d’histoire médiévale offertes à Pierre Toubert par ses élèves, réunies par D. Barthélemy et J.-M. Martin, Genève, 2003, p. 503-514 (Ecole pratique des hautes études, sciences historiques et philologiques. Hautes études médiévales et modernes, 84).</w:t>
      </w:r>
    </w:p>
    <w:p>
      <w:pPr/>
      <w:r>
        <w:rPr/>
        <w:t xml:space="preserve">24. « La place de l’Empire dans la politique de la Maison de Savoie aux XIIIe et XIVe s. », La Suisse occidentale et l’Empire, éd. Par J.-D. Morerod, D. Tappy, Cl. Thévenaz-Modestin et F. Vannoti, Lausanne, 2004 (Mémoires et documents publiés par la société d’histoire de la Suisse romande, 4e série, t. VII), p. 267-287.</w:t>
      </w:r>
    </w:p>
    <w:p>
      <w:pPr/>
      <w:r>
        <w:rPr/>
        <w:t xml:space="preserve">25. « Quand l’histoire juge : le dossier de Humbert II, dauphin de Viennois », dans Vaticana et medievalia. Études en l’honneur de Louis Duval-Arnould, réunies par J.-M. Martin, B. Martin-Hisard et A. Paravicini Bagliani, Firenze, 2008, p. 185-200 (Millenio medievale, 71).</w:t>
      </w:r>
    </w:p>
    <w:p>
      <w:pPr/>
      <w:r>
        <w:rPr/>
        <w:t xml:space="preserve">26. [Avec Sylvie DENOIX], « La constitution des corpus archivistiques dans l’Occident médiéval », dans L’autorité de l’écrit au Moyen Age (Orient-Occident), actes du 39e Congrès de la Société des historiens médiévistes de l’enseignement supérieur public, Paris, 2009, p. 239-261.</w:t>
      </w:r>
    </w:p>
    <w:p>
      <w:pPr/>
      <w:r>
        <w:rPr/>
        <w:t xml:space="preserve">27. « Les Savoyards au concile de Perpignan », dans Hélène MILLET (dir.), Le concile de Perpignan (15 novembre 1408 - 26 mars 1409), actes du colloque international d'histoire religieuse médiévale de Perpignan (24 au 26 janvier 2008), Perpignan, 2010 (Etudes Roussillonnaises, revue d'histoire et d'archéologie Méditerranéennes, tome XXIV).</w:t>
      </w:r>
    </w:p>
    <w:p>
      <w:pPr/>
      <w:r>
        <w:rPr/>
        <w:t xml:space="preserve">28. « L’Église face aux mouvements urbains », dans Colloque de l’Académie de Villefranche-sur-Saône de décembre 2010 pour le 750e anniversaire de la charte de Villefranche.</w:t>
      </w:r>
    </w:p>
    <w:p>
      <w:pPr/>
      <w:r>
        <w:rPr/>
        <w:t xml:space="preserve">29. « La ‘réunion’ de Lyon à la France, quarante années pour un rattachement pacifique », dans Bibliothèque de l’École des chartes, 2012, p. 9-29.</w:t>
      </w:r>
    </w:p>
    <w:p>
      <w:pPr/>
      <w:r>
        <w:rPr/>
        <w:t xml:space="preserve">30. « Le rôle de l' Église de Lyon au service du roi de France au XIVe siècle », dans Église et État, Église ou État ? Les clercs et la genèse de l'État moderne, dir. par Chr. Barralis, J.-P. Boudet, F. Délivré et J.-Ph. Genet, Paris-Rome, 2014, p. 73-85.</w:t>
      </w:r>
    </w:p>
    <w:p>
      <w:pPr/>
      <w:r>
        <w:rPr/>
        <w:t xml:space="preserve">31. « L'Église de Vienne au temps du concile », dans Vienne au crépuscule des Templiers, sous la dir. de Roger Lauxerois, Grenoble, 2014, p. 33-40.</w:t>
      </w:r>
    </w:p>
    <w:p>
      <w:pPr/>
      <w:r>
        <w:rPr/>
        <w:t xml:space="preserve">32. « Belleville à travers les Archives départementales du Rhône », dans Belleville et sa région. Actes des journées d'études 2014 de l'Union des sociétés historiques du Rhône, Lyon, 2014, p. 53-64.</w:t>
      </w:r>
    </w:p>
    <w:p>
      <w:pPr/>
      <w:r>
        <w:rPr/>
        <w:t xml:space="preserve">33. « La 'limite' de la Saône », dans Neuville et sa région. Actes des journées d'études 2015 de l'Union des sociétés historiques du Rhône, Lyon, 2015, p. 67-78.</w:t>
      </w:r>
    </w:p>
    <w:p>
      <w:pPr/>
      <w:r>
        <w:rPr/>
        <w:t xml:space="preserve">34. « Philippe Auguste, roi de France : itinéraire d'un enfant gâté », dans Académie de Villefranche et du Beaujolais. Travaux de l'année 2015, 2016, n° 39, p. 20-29.</w:t>
      </w:r>
    </w:p>
    <w:p>
      <w:pPr/>
      <w:r>
        <w:rPr/>
        <w:t xml:space="preserve">35. « Archives et châteaux de Savoie », dans Aux sources de l’histoire des châteaux, actes de la journée d’étude d’Annecy, Annecy, 2016, p. 77-80.</w:t>
      </w:r>
    </w:p>
    <w:p>
      <w:pPr/>
      <w:r>
        <w:rPr/>
        <w:t xml:space="preserve">36. « La charte de franchise de l’Arbresle », dans L’Arbresle. Actes des journées d’études 2017 de l’Union des sociétés historiques du Rhône, Lyon, 2017, p. 25-33.</w:t>
      </w:r>
    </w:p>
    <w:p>
      <w:pPr/>
      <w:r>
        <w:rPr/>
        <w:t xml:space="preserve">37. « Genèse des territoires : Lyonnais, Forez et Beaujolais au Moyen Âge », dans Revue d’histoire de Lyon, 2016-2017, n° 2-3, p. 67-83.</w:t>
      </w:r>
    </w:p>
    <w:p>
      <w:pPr/>
      <w:r>
        <w:rPr/>
        <w:t xml:space="preserve">38. « Les ambitions lyonnaises de la Maison de Savoie », dans Lyon 1312, rattacher la ville au Royaume ?, sous la dir. d’Alexis Charansonnet, Jean-Louis Gaulin et Xavier Hélary, Lyon, 2020, p. 217-229.</w:t>
      </w:r>
    </w:p>
    <w:p>
      <w:pPr/>
      <w:r>
        <w:rPr/>
        <w:t xml:space="preserve">39. « L'élection de Félix V dans la continuité du Grand Schisme », dans Amédée VIII. Colloque international de Chillon, 22-24 septembre 2016, à paraître.</w:t>
      </w:r>
    </w:p>
    <w:p>
      <w:pPr/>
      <w:r>
        <w:rPr/>
        <w:t xml:space="preserve">40. « Potential und Grenzen der paläographischen Untersuchung von Authentiken am Beispiel der Sammlung Sancta Sanctorum », dans Wallenwein (Kirsten), Licht (Tino), dir., Reliquienauthentiken: Kulturdenkmäler des Frühmittelalters, Ratisbonne, 2020, p. 41-57.</w:t>
      </w:r>
    </w:p>
    <w:p>
      <w:pPr>
        <w:pStyle w:val="Heading2"/>
      </w:pPr>
      <w:r>
        <w:rPr/>
        <w:t xml:space="preserve">II. Histoire régionale, histoire des archives</w:t>
      </w:r>
    </w:p>
    <w:p>
      <w:pPr>
        <w:pStyle w:val="Heading3"/>
      </w:pPr>
      <w:r>
        <w:rPr/>
        <w:t xml:space="preserve">ARTICLES</w:t>
      </w:r>
    </w:p>
    <w:p>
      <w:pPr/>
      <w:r>
        <w:rPr/>
        <w:t xml:space="preserve">1. « Le sort des archives seigneuriales à la Révolution française : triage ou destruction ? », dans Philippe CONTAMINE, Laurent VISSIÈRE (dir.), Défendre ses droits, construire sa mémoire. Les chartriers seigneuriaux, XIIIe-XXIe siècle, Paris, 2010, p. 273-284.</w:t>
      </w:r>
    </w:p>
    <w:p>
      <w:pPr/>
      <w:r>
        <w:rPr/>
        <w:t xml:space="preserve">2. « La captivité de Jean Pierre Philippe Anne de Lacroix Laval », dans Marcy l’Etoile et sa région. Actes des journées d’études 2018 de l’Union des sociétés historiques du Rhône, Lyon, 2018, p. 23-45.</w:t>
      </w:r>
    </w:p>
    <w:p>
      <w:pPr/>
      <w:r>
        <w:rPr/>
        <w:t xml:space="preserve">3. « La famille de Châteauneuf de Rochebonne », dans Académie de Villefranche et du Beaujolais. Travaux de l'année 2019, p. 12-21.</w:t>
      </w:r>
    </w:p>
    <w:p>
      <w:pPr/>
      <w:r>
        <w:rPr/>
        <w:t xml:space="preserve">4. « Les regroupements de communes du XIXe au XXe s. : quelques considérations », dans Beauvallon et sa région. Actes des journées d’études 2019 de l’Union des sociétés historiques du Rhône, Lyon, 2019, p. 11-29.</w:t>
      </w:r>
    </w:p>
    <w:p>
      <w:pPr>
        <w:pStyle w:val="Heading2"/>
      </w:pPr>
      <w:r>
        <w:rPr/>
        <w:t xml:space="preserve">III. Archivistique</w:t>
      </w:r>
    </w:p>
    <w:p>
      <w:pPr>
        <w:pStyle w:val="Heading3"/>
      </w:pPr>
      <w:r>
        <w:rPr/>
        <w:t xml:space="preserve">OUVRAGES PUBLIÉS</w:t>
      </w:r>
    </w:p>
    <w:p>
      <w:pPr/>
      <w:r>
        <w:rPr/>
        <w:t xml:space="preserve">1. [En collaboration avec Christine Nougaret], Les instruments de recherche dans les archives, Paris, 1999.</w:t>
      </w:r>
    </w:p>
    <w:p>
      <w:pPr/>
      <w:r>
        <w:rPr/>
        <w:t xml:space="preserve">2. Archives des établissements publics nationaux : état des versements effectués au Centre des archives contemporaines de 1971 à 1988, Paris, 1989, 92 p.</w:t>
      </w:r>
    </w:p>
    <w:p>
      <w:pPr/>
      <w:r>
        <w:rPr/>
        <w:t xml:space="preserve">3. (Directeur de l'ouvrage) Les sources de l'histoire du cheval dans les archives publiques, Paris, 1993.</w:t>
      </w:r>
    </w:p>
    <w:p>
      <w:pPr/>
      <w:r>
        <w:rPr/>
        <w:t xml:space="preserve">4. Les archives, Paris, 2016 (coll. Que sais-je ?), rééd. 2020.</w:t>
      </w:r>
    </w:p>
    <w:p>
      <w:pPr>
        <w:pStyle w:val="Heading3"/>
      </w:pPr>
      <w:r>
        <w:rPr/>
        <w:t xml:space="preserve">ARTICLES</w:t>
      </w:r>
    </w:p>
    <w:p>
      <w:pPr/>
      <w:r>
        <w:rPr/>
        <w:t xml:space="preserve">1. &amp;quot;Le traitement des archives contemporaines : travail mécanique ou exigences scientifiques ?&amp;quot;, dans La gazette des archives, n° 152-153, 1991, p. 72-77.</w:t>
      </w:r>
    </w:p>
    <w:p>
      <w:pPr/>
      <w:r>
        <w:rPr/>
        <w:t xml:space="preserve">2. &amp;quot;Le cheval dans les archives&amp;quot;, dans De Pégase à Jappeloup : cheval et société. Actes du festival d'histoire de Montbrison 1994, Montbrison, 1995, p. 415-428.</w:t>
      </w:r>
    </w:p>
    <w:p>
      <w:pPr/>
      <w:r>
        <w:rPr/>
        <w:t xml:space="preserve">3. &amp;quot;Les archives de l’agriculture&amp;quot;, dans Les instruments de recherche et leurs utilisateurs : Bilan et perspectives. Journées d’études de la direction des Archives de France, Le Mans, 1995, Paris, 1996, p. 81-89.</w:t>
      </w:r>
    </w:p>
    <w:p>
      <w:pPr/>
      <w:r>
        <w:rPr/>
        <w:t xml:space="preserve">4. &amp;quot; La numérisation dans les services d’archives publics&amp;quot;, dans La numérisation au service de la préservation et de la valorisation des archives, actes des 36e journées d’études de la direction des Archives de France.</w:t>
      </w:r>
    </w:p>
    <w:p>
      <w:pPr/>
      <w:r>
        <w:rPr/>
        <w:t xml:space="preserve">5. Collaboration à : La pratique archivistique française, Paris, 1993.</w:t>
      </w:r>
    </w:p>
    <w:p>
      <w:pPr/>
      <w:r>
        <w:rPr/>
        <w:t xml:space="preserve">6. « Les archives publiques de la ville : les moyens de la conservation », dans Des archives de l’architecture aux archives de la ville, table ronde tenue aux Archives nationales les 18 et 19 juin 1998, Paris, 2000, p. 138-141.</w:t>
      </w:r>
    </w:p>
    <w:p>
      <w:pPr/>
      <w:r>
        <w:rPr/>
        <w:t xml:space="preserve">7. « Archives nationales et Archives de France, de l’an II au rapport Braibant : entre unité et complémentarité », dans Histoire et archives, 10, 2001, p. 61-84.</w:t>
      </w:r>
    </w:p>
    <w:p>
      <w:pPr/>
      <w:r>
        <w:rPr/>
        <w:t xml:space="preserve">8. (en collaboration avec Philippe Béchu) « La diversification des publications dans les services d’archives en France, 1986-1998 », dans La gazette des archives, 192, 2001, p. 171-187.</w:t>
      </w:r>
    </w:p>
    <w:p>
      <w:pPr/>
      <w:r>
        <w:rPr/>
        <w:t xml:space="preserve">9. « L’archivistique française à l’épreuve du temps », dans Archives. Association des archivistes du Québec, 34, 2002-2003, p. 119-137.</w:t>
      </w:r>
    </w:p>
    <w:p>
      <w:pPr/>
      <w:r>
        <w:rPr/>
        <w:t xml:space="preserve">10. « Sistemi archivistici informatizzati e standard descrittivi », dans Centro di ricerche informatiche per i Beni Culturali, Bolletino d’informazioni, XII, 2002, n. 2, p. 163-168.</w:t>
      </w:r>
    </w:p>
    <w:p>
      <w:pPr/>
      <w:r>
        <w:rPr/>
        <w:t xml:space="preserve">11. « Les normes de description du Conseil international des archives »,dans Revue arabe d’archives, de documentation et d’information, 8e année, 15-16, 2004, p. 41-52.</w:t>
      </w:r>
    </w:p>
    <w:p>
      <w:pPr/>
      <w:r>
        <w:rPr/>
        <w:t xml:space="preserve">12. « La terminologie, atout ou handicap pour l’archivistique fondamentale », dans La gazette des archives, n° 196, 2004, p. 79-93.</w:t>
      </w:r>
    </w:p>
    <w:p>
      <w:pPr/>
      <w:r>
        <w:rPr/>
        <w:t xml:space="preserve">13. « Une cité au service des archives », dans La gazette des archives, n° 197, 2005, p. 1-16.</w:t>
      </w:r>
    </w:p>
    <w:p>
      <w:pPr/>
      <w:r>
        <w:rPr/>
        <w:t xml:space="preserve">14. « Travailler ensemble sur l’Ancien Régime : expériences et interrogations », dans Archives et sciences sociales : aspects juridiques et coopérations scientifiques, Paris, 2006 (coll. Droit du patrimoine culturel et naturel), p. 153-161.</w:t>
      </w:r>
    </w:p>
    <w:p>
      <w:pPr/>
      <w:r>
        <w:rPr/>
        <w:t xml:space="preserve">15. « La participation de l’archiviste à la recherche historique : un rôle à redéfinir ? », dans La gazette des archives, n° 204, 2006, p. 211-232.</w:t>
      </w:r>
    </w:p>
    <w:p>
      <w:pPr/>
      <w:r>
        <w:rPr/>
        <w:t xml:space="preserve">16. « Conserver pour l’histoire : une nouvelle dimension pour les Archives nationales de France », dans Archivi e storia nell’Europa del XIX secolo, alle radici dell’identità culturale europea, Rome, 2006, vol. 2, p. 549-570 (Pubblicazioni degli Archivi di Stato, Saggi, 90).</w:t>
      </w:r>
    </w:p>
    <w:p>
      <w:pPr/>
      <w:r>
        <w:rPr/>
        <w:t xml:space="preserve">17. « Des médiévistes aux archives, est-ce utile, est-ce nécessaire ? », dans Être historien du Moyen Age au XXIe siècle : actes du Congrès de la Société des historiens médiévistes de l’enseignement supérieur public, 2007, Paris, 2008, p. 251-258.</w:t>
      </w:r>
    </w:p>
    <w:p>
      <w:pPr/>
      <w:r>
        <w:rPr/>
        <w:t xml:space="preserve">18. « La normalisation au secours de l’archivistique ? », dans L’erreur archivistique. De la compréhension de l’erreur à la perception et à la gestion des incertitudes, sous la dir. de Cathy Schoukens et Paul Servais, Louvain-la-Neuve, 2009, p. 219-226 (Publications des archives de l’université catholique de Louvain, 22).</w:t>
      </w:r>
    </w:p>
    <w:p>
      <w:pPr/>
      <w:r>
        <w:rPr/>
        <w:t xml:space="preserve">19. « Les Archives nationales, une mémoire au défi de l’avenir », dans Patrimoines. Revue de l’Institut national du patrimoine, n° 4, 2008, p. 12-27.</w:t>
      </w:r>
    </w:p>
    <w:p>
      <w:pPr/>
      <w:r>
        <w:rPr/>
        <w:t xml:space="preserve">20. « Les archives de Simancas. De la saisie napoléonienne à la restitution à Franco », dans Saisies, spoliations et restitutions. Archives et bibliothèques au XXe siècle, sous la direction d’Alexandre SUMPF et Vincent LANIOL, Rennes, 2012, p. 199-212.</w:t>
      </w:r>
    </w:p>
    <w:p>
      <w:pPr/>
      <w:r>
        <w:rPr/>
        <w:t xml:space="preserve">21. « Au service des archives de l’Ancien Régime à la Restauration : Joseph-Nicolas Pavillet », dans Rerum gestarum scriptor. Histoire et historiographie au Moyen Age, mélanges en l’honneur de Michel Sot, Paris, 2012, p. 713-724.</w:t>
      </w:r>
    </w:p>
    <w:p>
      <w:pPr/>
      <w:r>
        <w:rPr/>
        <w:t xml:space="preserve">22. « Les Archives nationales au service du public», dans Patrimoines. Revue de l’Institut national du patrimoine, n° 9, 2013, p. 28-35.</w:t>
      </w:r>
    </w:p>
    <w:p>
      <w:pPr/>
      <w:r>
        <w:rPr/>
        <w:t xml:space="preserve">23. (En collaboration avec Philippe Grandjean) « Une application spécifique de la loi sur les métropoles : les archives du département du Rhône et de la métropole de Lyon », dans La gazette des archives, n° 244, 2016, p. 45-55.</w:t>
      </w:r>
    </w:p>
    <w:p>
      <w:pPr/>
      <w:r>
        <w:rPr/>
        <w:t xml:space="preserve">24. (En collaboration avec Elisabeth Verry), « Les archivistes au défi des réformes territoriales », dans La gazette des archives, n° 247, 2017, p. 65-80.</w:t>
      </w:r>
    </w:p>
    <w:p>
      <w:pPr/>
      <w:r>
        <w:rPr/>
        <w:t xml:space="preserve">25. « Le procès de Klaus Barbie, entre archives, témoignage et éthique », dans La gazette des archives, n° 249, 2018, p. 163-177.</w:t>
      </w:r>
    </w:p>
    <w:p>
      <w:pPr/>
      <w:r>
        <w:rPr/>
        <w:t xml:space="preserve">26. « La création de la Métropole de Lyon. Point d’étape archivistique », dans La gazette des archives, n° 252, 2018, p. 37-47.</w:t>
      </w:r>
    </w:p>
    <w:p>
      <w:pPr/>
      <w:r>
        <w:rPr/>
        <w:t xml:space="preserve">27. « Vincolo spezzato – rétrocession. Un point de vue français », dans Archivi sul confine. Cessioni territoriali e trasferimenti documentari a 70 anni deal trattato di Parigi del 1947, a cura di Maria Gattullo, Roma, 2019 (Pubblicazioni degli Archivi di stato, saggi, 118), p. 77-85.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Electropolymerization of Cationic Amphiphilic Pyrrole Derivatives on Electrodes. Evidence for Environmental Effects on Redox Potentials of Trapped Anions</w:t>
              </w:r>
            </w:hyperlink>
          </w:p>
          <w:p>
            <w:pPr/>
            <w:hyperlink r:id="rId10" w:history="1">
              <w:r>
                <w:rPr>
                  <w:color w:val="#410a8c"/>
                  <w:u w:val="single"/>
                </w:rPr>
                <w:t xml:space="preserve">Liliane Coche-Guerente</w:t>
              </w:r>
            </w:hyperlink>
            <w:r>
              <w:rPr/>
              <w:t xml:space="preserve">,</w:t>
            </w:r>
            <w:hyperlink r:id="rId11" w:history="1">
              <w:r>
                <w:rPr>
                  <w:color w:val="#410a8c"/>
                  <w:u w:val="single"/>
                </w:rPr>
                <w:t xml:space="preserve">Alain Deronzier</w:t>
              </w:r>
            </w:hyperlink>
            <w:r>
              <w:rPr/>
              <w:t xml:space="preserve">,</w:t>
            </w:r>
            <w:hyperlink r:id="rId12" w:history="1">
              <w:r>
                <w:rPr>
                  <w:color w:val="#410a8c"/>
                  <w:u w:val="single"/>
                </w:rPr>
                <w:t xml:space="preserve">Bruno Galland</w:t>
              </w:r>
            </w:hyperlink>
            <w:r>
              <w:rPr/>
              <w:t xml:space="preserve">,</w:t>
            </w:r>
            <w:hyperlink r:id="rId13" w:history="1">
              <w:r>
                <w:rPr>
                  <w:color w:val="#410a8c"/>
                  <w:u w:val="single"/>
                </w:rPr>
                <w:t xml:space="preserve">Jean Claude Moutet</w:t>
              </w:r>
            </w:hyperlink>
            <w:r>
              <w:rPr/>
              <w:t xml:space="preserve">,</w:t>
            </w:r>
            <w:hyperlink r:id="rId14" w:history="1">
              <w:r>
                <w:rPr>
                  <w:color w:val="#410a8c"/>
                  <w:u w:val="single"/>
                </w:rPr>
                <w:t xml:space="preserve">Pierre Labbe</w:t>
              </w:r>
            </w:hyperlink>
            <w:r>
              <w:rPr/>
              <w:t xml:space="preserve">et al.</w:t>
            </w:r>
          </w:p>
          <w:p>
            <w:pPr/>
            <w:r>
              <w:rPr>
                <w:i w:val="1"/>
                <w:iCs w:val="1"/>
              </w:rPr>
              <w:t xml:space="preserve">Langmuir</w:t>
            </w:r>
            <w:r>
              <w:rPr/>
              <w:t xml:space="preserve">, 1994, 10 (2), pp.602-610. </w:t>
            </w:r>
            <w:hyperlink r:id="rId15" w:history="1">
              <w:r>
                <w:rPr>
                  <w:color w:val="#410a8c"/>
                  <w:u w:val="single"/>
                </w:rPr>
                <w:t xml:space="preserve">⟨10.1021/la00014a044⟩</w:t>
              </w:r>
            </w:hyperlink>
          </w:p>
          <w:p>
            <w:pPr/>
            <w:r>
              <w:rPr/>
              <w:t xml:space="preserve">Article dans une revue</w:t>
            </w:r>
          </w:p>
          <w:p>
            <w:pPr/>
            <w:hyperlink r:id="rId16" w:history="1">
              <w:r>
                <w:rPr>
                  <w:color w:val="#410a8c"/>
                  <w:u w:val="single"/>
                </w:rPr>
                <w:t xml:space="preserve">istex</w:t>
              </w:r>
            </w:hyperlink>
          </w:p>
          <w:p>
            <w:pPr/>
            <w:hyperlink r:id="rId9" w:history="1">
              <w:r>
                <w:rPr>
                  <w:color w:val="#410a8c"/>
                  <w:u w:val="single"/>
                </w:rPr>
                <w:t xml:space="preserve">hal-02881474v1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Lyon et la charte sapaudine (XIVe-XVIIIe siècle). Traduction et analyse</w:t>
              </w:r>
            </w:hyperlink>
          </w:p>
          <w:p>
            <w:pPr/>
            <w:hyperlink r:id="rId18" w:history="1">
              <w:r>
                <w:rPr>
                  <w:color w:val="#410a8c"/>
                  <w:u w:val="single"/>
                </w:rPr>
                <w:t xml:space="preserve">Pierre-Jean Souriac</w:t>
              </w:r>
            </w:hyperlink>
            <w:r>
              <w:rPr/>
              <w:t xml:space="preserve">,</w:t>
            </w:r>
            <w:hyperlink r:id="rId19" w:history="1">
              <w:r>
                <w:rPr>
                  <w:color w:val="#410a8c"/>
                  <w:u w:val="single"/>
                </w:rPr>
                <w:t xml:space="preserve">Louis Faivre d'Arcier</w:t>
              </w:r>
            </w:hyperlink>
            <w:r>
              <w:rPr/>
              <w:t xml:space="preserve">,</w:t>
            </w:r>
            <w:hyperlink r:id="rId12" w:history="1">
              <w:r>
                <w:rPr>
                  <w:color w:val="#410a8c"/>
                  <w:u w:val="single"/>
                </w:rPr>
                <w:t xml:space="preserve">Bruno Galland</w:t>
              </w:r>
            </w:hyperlink>
          </w:p>
          <w:p>
            <w:pPr/>
            <w:r>
              <w:rPr/>
              <w:t xml:space="preserve">Archives municipales de Lyon, 2020</w:t>
            </w:r>
          </w:p>
          <w:p>
            <w:pPr/>
            <w:r>
              <w:rPr/>
              <w:t xml:space="preserve">Ouvrages</w:t>
            </w:r>
          </w:p>
          <w:p>
            <w:pPr/>
            <w:hyperlink r:id="rId17" w:history="1">
              <w:r>
                <w:rPr>
                  <w:color w:val="#410a8c"/>
                  <w:u w:val="single"/>
                </w:rPr>
                <w:t xml:space="preserve">halshs-03895513v1</w:t>
              </w:r>
            </w:hyperlink>
          </w:p>
        </w:tc>
      </w:tr>
      <w:tr>
        <w:trPr/>
        <w:tc>
          <w:tcPr>
            <w:noWrap/>
          </w:tcPr>
          <w:p>
            <w:pPr>
              <w:spacing w:after="200"/>
            </w:pPr>
            <w:hyperlink r:id="rId20" w:history="1">
              <w:r>
                <w:rPr>
                  <w:color w:val="1e198e"/>
                  <w:b w:val="1"/>
                  <w:bCs w:val="1"/>
                  <w:u w:val="single"/>
                </w:rPr>
                <w:t xml:space="preserve">Lyon, entre Empire et Royaume (843-1601)</w:t>
              </w:r>
            </w:hyperlink>
          </w:p>
          <w:p>
            <w:pPr/>
            <w:hyperlink r:id="rId21" w:history="1">
              <w:r>
                <w:rPr>
                  <w:color w:val="#410a8c"/>
                  <w:u w:val="single"/>
                </w:rPr>
                <w:t xml:space="preserve">Alexis Charansonnet</w:t>
              </w:r>
            </w:hyperlink>
            <w:r>
              <w:rPr/>
              <w:t xml:space="preserve">,</w:t>
            </w:r>
            <w:hyperlink r:id="rId22" w:history="1">
              <w:r>
                <w:rPr>
                  <w:color w:val="#410a8c"/>
                  <w:u w:val="single"/>
                </w:rPr>
                <w:t xml:space="preserve">Jean-Louis Gaulin</w:t>
              </w:r>
            </w:hyperlink>
            <w:r>
              <w:rPr/>
              <w:t xml:space="preserve">,</w:t>
            </w:r>
            <w:hyperlink r:id="rId23" w:history="1">
              <w:r>
                <w:rPr>
                  <w:color w:val="#410a8c"/>
                  <w:u w:val="single"/>
                </w:rPr>
                <w:t xml:space="preserve">Pascale Mounier</w:t>
              </w:r>
            </w:hyperlink>
            <w:r>
              <w:rPr/>
              <w:t xml:space="preserve">,</w:t>
            </w:r>
            <w:hyperlink r:id="rId24" w:history="1">
              <w:r>
                <w:rPr>
                  <w:color w:val="#410a8c"/>
                  <w:u w:val="single"/>
                </w:rPr>
                <w:t xml:space="preserve">Susanne Rau</w:t>
              </w:r>
            </w:hyperlink>
            <w:r>
              <w:rPr/>
              <w:t xml:space="preserve">,</w:t>
            </w:r>
            <w:hyperlink r:id="rId25" w:history="1">
              <w:r>
                <w:rPr>
                  <w:color w:val="#410a8c"/>
                  <w:u w:val="single"/>
                </w:rPr>
                <w:t xml:space="preserve">Anne Béroujon</w:t>
              </w:r>
            </w:hyperlink>
            <w:r>
              <w:rPr/>
              <w:t xml:space="preserve">et al.</w:t>
            </w:r>
          </w:p>
          <w:p>
            <w:pPr/>
            <w:r>
              <w:rPr/>
              <w:t xml:space="preserve">Classiques Garnier, 14, 786 p., 2015, (Bibliothèque d'histoire médiévale), 978-2-8124-5984-9. </w:t>
            </w:r>
            <w:hyperlink r:id="rId26" w:history="1">
              <w:r>
                <w:rPr>
                  <w:color w:val="#410a8c"/>
                  <w:u w:val="single"/>
                </w:rPr>
                <w:t xml:space="preserve">⟨10.15122/isbn.978-2-8124-5986-3⟩</w:t>
              </w:r>
            </w:hyperlink>
          </w:p>
          <w:p>
            <w:pPr/>
            <w:r>
              <w:rPr/>
              <w:t xml:space="preserve">Ouvrages</w:t>
            </w:r>
          </w:p>
          <w:p>
            <w:pPr/>
            <w:hyperlink r:id="rId20" w:history="1">
              <w:r>
                <w:rPr>
                  <w:color w:val="#410a8c"/>
                  <w:u w:val="single"/>
                </w:rPr>
                <w:t xml:space="preserve">halshs-01294188v1</w:t>
              </w:r>
            </w:hyperlink>
          </w:p>
        </w:tc>
      </w:tr>
      <w:tr>
        <w:trPr/>
        <w:tc>
          <w:tcPr>
            <w:noWrap/>
          </w:tcPr>
          <w:p>
            <w:pPr>
              <w:spacing w:after="200"/>
            </w:pPr>
            <w:hyperlink r:id="rId27" w:history="1">
              <w:r>
                <w:rPr>
                  <w:color w:val="1e198e"/>
                  <w:b w:val="1"/>
                  <w:bCs w:val="1"/>
                  <w:u w:val="single"/>
                </w:rPr>
                <w:t xml:space="preserve">Les instruments de recherche dans les archives</w:t>
              </w:r>
            </w:hyperlink>
          </w:p>
          <w:p>
            <w:pPr/>
            <w:hyperlink r:id="rId28" w:history="1">
              <w:r>
                <w:rPr>
                  <w:color w:val="#410a8c"/>
                  <w:u w:val="single"/>
                </w:rPr>
                <w:t xml:space="preserve">Christine Nougaret</w:t>
              </w:r>
            </w:hyperlink>
            <w:r>
              <w:rPr/>
              <w:t xml:space="preserve">,</w:t>
            </w:r>
            <w:hyperlink r:id="rId12" w:history="1">
              <w:r>
                <w:rPr>
                  <w:color w:val="#410a8c"/>
                  <w:u w:val="single"/>
                </w:rPr>
                <w:t xml:space="preserve">Bruno Galland</w:t>
              </w:r>
            </w:hyperlink>
          </w:p>
          <w:p>
            <w:pPr/>
            <w:r>
              <w:rPr/>
              <w:t xml:space="preserve">La Documentation française; Direction des archives de France, 1999, 2-911601-13-0</w:t>
            </w:r>
          </w:p>
          <w:p>
            <w:pPr/>
            <w:r>
              <w:rPr/>
              <w:t xml:space="preserve">Ouvrages</w:t>
            </w:r>
          </w:p>
          <w:p>
            <w:pPr/>
            <w:hyperlink r:id="rId27" w:history="1">
              <w:r>
                <w:rPr>
                  <w:color w:val="#410a8c"/>
                  <w:u w:val="single"/>
                </w:rPr>
                <w:t xml:space="preserve">hal-02193110v1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bruno.galland@rhone.fr" TargetMode="External"/><Relationship Id="rId9" Type="http://schemas.openxmlformats.org/officeDocument/2006/relationships/hyperlink" Target="https://hal.science/hal-02881474v1" TargetMode="External"/><Relationship Id="rId10" Type="http://schemas.openxmlformats.org/officeDocument/2006/relationships/hyperlink" Target="https://hal.science/search/index/?q=*&amp;authFullName_s=Liliane Coche-Guerente" TargetMode="External"/><Relationship Id="rId11" Type="http://schemas.openxmlformats.org/officeDocument/2006/relationships/hyperlink" Target="https://hal.science/search/index/?q=*&amp;authFullName_s=Alain Deronzier" TargetMode="External"/><Relationship Id="rId12" Type="http://schemas.openxmlformats.org/officeDocument/2006/relationships/hyperlink" Target="https://hal.science/search/index/?q=*&amp;authFullName_s=Bruno Galland" TargetMode="External"/><Relationship Id="rId13" Type="http://schemas.openxmlformats.org/officeDocument/2006/relationships/hyperlink" Target="https://hal.science/search/index/?q=*&amp;authFullName_s=Jean Claude Moutet" TargetMode="External"/><Relationship Id="rId14" Type="http://schemas.openxmlformats.org/officeDocument/2006/relationships/hyperlink" Target="https://hal.science/search/index/?q=*&amp;authFullName_s=Pierre Labbe" TargetMode="External"/><Relationship Id="rId15" Type="http://schemas.openxmlformats.org/officeDocument/2006/relationships/hyperlink" Target="https://dx.doi.org/10.1021/la00014a044" TargetMode="External"/><Relationship Id="rId16" Type="http://schemas.openxmlformats.org/officeDocument/2006/relationships/hyperlink" Target="https://api.istex.fr/ark:/67375/TPS-G5TDX4GX-S/fulltext.pdf?sid=hal" TargetMode="External"/><Relationship Id="rId17" Type="http://schemas.openxmlformats.org/officeDocument/2006/relationships/hyperlink" Target="https://shs.hal.science/halshs-03895513v1" TargetMode="External"/><Relationship Id="rId18" Type="http://schemas.openxmlformats.org/officeDocument/2006/relationships/hyperlink" Target="https://hal.science/search/index/?q=*&amp;authFullName_s=Pierre-Jean Souriac" TargetMode="External"/><Relationship Id="rId19" Type="http://schemas.openxmlformats.org/officeDocument/2006/relationships/hyperlink" Target="https://hal.science/search/index/?q=*&amp;authFullName_s=Louis Faivre d'Arcier" TargetMode="External"/><Relationship Id="rId20" Type="http://schemas.openxmlformats.org/officeDocument/2006/relationships/hyperlink" Target="https://shs.hal.science/halshs-01294188v1" TargetMode="External"/><Relationship Id="rId21" Type="http://schemas.openxmlformats.org/officeDocument/2006/relationships/hyperlink" Target="https://hal.science/search/index/?q=*&amp;authFullName_s=Alexis Charansonnet" TargetMode="External"/><Relationship Id="rId22" Type="http://schemas.openxmlformats.org/officeDocument/2006/relationships/hyperlink" Target="https://hal.science/search/index/?q=*&amp;authFullName_s=Jean-Louis Gaulin" TargetMode="External"/><Relationship Id="rId23" Type="http://schemas.openxmlformats.org/officeDocument/2006/relationships/hyperlink" Target="https://hal.science/search/index/?q=*&amp;authFullName_s=Pascale Mounier" TargetMode="External"/><Relationship Id="rId24" Type="http://schemas.openxmlformats.org/officeDocument/2006/relationships/hyperlink" Target="https://hal.science/search/index/?q=*&amp;authFullName_s=Susanne Rau" TargetMode="External"/><Relationship Id="rId25" Type="http://schemas.openxmlformats.org/officeDocument/2006/relationships/hyperlink" Target="https://hal.science/search/index/?q=*&amp;authFullName_s=Anne B&#233;roujon" TargetMode="External"/><Relationship Id="rId26" Type="http://schemas.openxmlformats.org/officeDocument/2006/relationships/hyperlink" Target="https://dx.doi.org/10.15122/isbn.978-2-8124-5986-3" TargetMode="External"/><Relationship Id="rId27" Type="http://schemas.openxmlformats.org/officeDocument/2006/relationships/hyperlink" Target="https://enc.hal.science/hal-02193110v1" TargetMode="External"/><Relationship Id="rId28" Type="http://schemas.openxmlformats.org/officeDocument/2006/relationships/hyperlink" Target="https://hal.science/search/index/?q=*&amp;authFullName_s=Christine Nougaret"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GALLAND</dc:title>
  <dc:description>CV</dc:description>
  <dc:subject/>
  <cp:keywords/>
  <cp:category/>
  <cp:lastModifiedBy/>
  <dcterms:created xsi:type="dcterms:W3CDTF">2026-03-05T12:35:29+01:00</dcterms:created>
  <dcterms:modified xsi:type="dcterms:W3CDTF">2026-03-05T12:35:29+01:00</dcterms:modified>
</cp:coreProperties>
</file>

<file path=docProps/custom.xml><?xml version="1.0" encoding="utf-8"?>
<Properties xmlns="http://schemas.openxmlformats.org/officeDocument/2006/custom-properties" xmlns:vt="http://schemas.openxmlformats.org/officeDocument/2006/docPropsVTypes"/>
</file>