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Carine LAURENT-BOUTOT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Dessiner les contours de la liberté d'expression</w:t>
              </w:r>
            </w:hyperlink>
          </w:p>
          <w:p>
            <w:pPr/>
            <w:hyperlink r:id="rId8" w:history="1">
              <w:r>
                <w:rPr>
                  <w:color w:val="#410a8c"/>
                  <w:u w:val="single"/>
                </w:rPr>
                <w:t xml:space="preserve">Carine Laurent-Boutot</w:t>
              </w:r>
            </w:hyperlink>
          </w:p>
          <w:p>
            <w:pPr/>
            <w:r>
              <w:rPr>
                <w:i w:val="1"/>
                <w:iCs w:val="1"/>
              </w:rPr>
              <w:t xml:space="preserve">Intersections. Revue semestrielle Genre &amp; Droit</w:t>
            </w:r>
            <w:r>
              <w:rPr/>
              <w:t xml:space="preserve">, 2025, 2025 (4), pp 2-6</w:t>
            </w:r>
          </w:p>
          <w:p>
            <w:pPr/>
            <w:r>
              <w:rPr/>
              <w:t xml:space="preserve">Article dans une revue</w:t>
            </w:r>
          </w:p>
          <w:p>
            <w:pPr/>
            <w:hyperlink r:id="rId7" w:history="1">
              <w:r>
                <w:rPr>
                  <w:color w:val="#410a8c"/>
                  <w:u w:val="single"/>
                </w:rPr>
                <w:t xml:space="preserve">hal-05484308v1</w:t>
              </w:r>
            </w:hyperlink>
          </w:p>
        </w:tc>
      </w:tr>
      <w:tr>
        <w:trPr/>
        <w:tc>
          <w:tcPr>
            <w:noWrap/>
          </w:tcPr>
          <w:p>
            <w:pPr>
              <w:spacing w:after="200"/>
            </w:pPr>
            <w:hyperlink r:id="rId9" w:history="1">
              <w:r>
                <w:rPr>
                  <w:color w:val="1e198e"/>
                  <w:b w:val="1"/>
                  <w:bCs w:val="1"/>
                  <w:u w:val="single"/>
                </w:rPr>
                <w:t xml:space="preserve">L’usage de la force publique outrancière – A propos de l’arrêt Castellani contre France du 30 avril 2020</w:t>
              </w:r>
            </w:hyperlink>
          </w:p>
          <w:p>
            <w:pPr/>
            <w:hyperlink r:id="rId8" w:history="1">
              <w:r>
                <w:rPr>
                  <w:color w:val="#410a8c"/>
                  <w:u w:val="single"/>
                </w:rPr>
                <w:t xml:space="preserve">Carine Laurent-Boutot</w:t>
              </w:r>
            </w:hyperlink>
          </w:p>
          <w:p>
            <w:pPr/>
            <w:r>
              <w:rPr>
                <w:i w:val="1"/>
                <w:iCs w:val="1"/>
              </w:rPr>
              <w:t xml:space="preserve">Revue des droits et libertés fondamentaux</w:t>
            </w:r>
            <w:r>
              <w:rPr/>
              <w:t xml:space="preserve">, 2021, La France et la CEDH</w:t>
            </w:r>
          </w:p>
          <w:p>
            <w:pPr/>
            <w:r>
              <w:rPr/>
              <w:t xml:space="preserve">Article dans une revue</w:t>
            </w:r>
          </w:p>
          <w:p>
            <w:pPr/>
            <w:hyperlink r:id="rId9" w:history="1">
              <w:r>
                <w:rPr>
                  <w:color w:val="#410a8c"/>
                  <w:u w:val="single"/>
                </w:rPr>
                <w:t xml:space="preserve">hal-03610554v1</w:t>
              </w:r>
            </w:hyperlink>
          </w:p>
        </w:tc>
      </w:tr>
      <w:tr>
        <w:trPr/>
        <w:tc>
          <w:tcPr>
            <w:noWrap/>
          </w:tcPr>
          <w:p>
            <w:pPr>
              <w:spacing w:after="200"/>
            </w:pPr>
            <w:hyperlink r:id="rId10" w:history="1">
              <w:r>
                <w:rPr>
                  <w:color w:val="1e198e"/>
                  <w:b w:val="1"/>
                  <w:bCs w:val="1"/>
                  <w:u w:val="single"/>
                </w:rPr>
                <w:t xml:space="preserve">« On ne choisit pas ses parents, on ne choisit pas sa famille… »</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2016, : https://revue-jade.eu/article/view/768</w:t>
            </w:r>
          </w:p>
          <w:p>
            <w:pPr/>
            <w:r>
              <w:rPr/>
              <w:t xml:space="preserve">Article dans une revue</w:t>
            </w:r>
          </w:p>
          <w:p>
            <w:pPr/>
            <w:hyperlink r:id="rId10" w:history="1">
              <w:r>
                <w:rPr>
                  <w:color w:val="#410a8c"/>
                  <w:u w:val="single"/>
                </w:rPr>
                <w:t xml:space="preserve">hal-03610587v1</w:t>
              </w:r>
            </w:hyperlink>
          </w:p>
        </w:tc>
      </w:tr>
      <w:tr>
        <w:trPr/>
        <w:tc>
          <w:tcPr>
            <w:noWrap/>
          </w:tcPr>
          <w:p>
            <w:pPr>
              <w:spacing w:after="200"/>
            </w:pPr>
            <w:hyperlink r:id="rId11" w:history="1">
              <w:r>
                <w:rPr>
                  <w:color w:val="1e198e"/>
                  <w:b w:val="1"/>
                  <w:bCs w:val="1"/>
                  <w:u w:val="single"/>
                </w:rPr>
                <w:t xml:space="preserve">Le droit à l’attribution d’un logement est un « droit civil »</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2016</w:t>
            </w:r>
          </w:p>
          <w:p>
            <w:pPr/>
            <w:r>
              <w:rPr/>
              <w:t xml:space="preserve">Article dans une revue</w:t>
            </w:r>
          </w:p>
          <w:p>
            <w:pPr/>
            <w:hyperlink r:id="rId11" w:history="1">
              <w:r>
                <w:rPr>
                  <w:color w:val="#410a8c"/>
                  <w:u w:val="single"/>
                </w:rPr>
                <w:t xml:space="preserve">hal-02966508v1</w:t>
              </w:r>
            </w:hyperlink>
          </w:p>
        </w:tc>
      </w:tr>
      <w:tr>
        <w:trPr/>
        <w:tc>
          <w:tcPr>
            <w:noWrap/>
          </w:tcPr>
          <w:p>
            <w:pPr>
              <w:spacing w:after="200"/>
            </w:pPr>
            <w:hyperlink r:id="rId12" w:history="1">
              <w:r>
                <w:rPr>
                  <w:color w:val="1e198e"/>
                  <w:b w:val="1"/>
                  <w:bCs w:val="1"/>
                  <w:u w:val="single"/>
                </w:rPr>
                <w:t xml:space="preserve">La filiation déduite du refus de se soumettre à une expertise biologique : lorsque les décisions d'irrecevabilité répondent sur le fond</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2015</w:t>
            </w:r>
          </w:p>
          <w:p>
            <w:pPr/>
            <w:r>
              <w:rPr/>
              <w:t xml:space="preserve">Article dans une revue</w:t>
            </w:r>
          </w:p>
          <w:p>
            <w:pPr/>
            <w:hyperlink r:id="rId12" w:history="1">
              <w:r>
                <w:rPr>
                  <w:color w:val="#410a8c"/>
                  <w:u w:val="single"/>
                </w:rPr>
                <w:t xml:space="preserve">hal-02966477v1</w:t>
              </w:r>
            </w:hyperlink>
          </w:p>
        </w:tc>
      </w:tr>
      <w:tr>
        <w:trPr/>
        <w:tc>
          <w:tcPr>
            <w:noWrap/>
          </w:tcPr>
          <w:p>
            <w:pPr>
              <w:spacing w:after="200"/>
            </w:pPr>
            <w:hyperlink r:id="rId13" w:history="1">
              <w:r>
                <w:rPr>
                  <w:color w:val="1e198e"/>
                  <w:b w:val="1"/>
                  <w:bCs w:val="1"/>
                  <w:u w:val="single"/>
                </w:rPr>
                <w:t xml:space="preserve">La prévalence du maintien du lien de filiation biologique au bénéfice des parents non violents ou maltraitants</w:t>
              </w:r>
            </w:hyperlink>
          </w:p>
          <w:p>
            <w:pPr/>
            <w:hyperlink r:id="rId8" w:history="1">
              <w:r>
                <w:rPr>
                  <w:color w:val="#410a8c"/>
                  <w:u w:val="single"/>
                </w:rPr>
                <w:t xml:space="preserve">Carine Laurent-Boutot</w:t>
              </w:r>
            </w:hyperlink>
          </w:p>
          <w:p>
            <w:pPr/>
            <w:r>
              <w:rPr>
                <w:i w:val="1"/>
                <w:iCs w:val="1"/>
              </w:rPr>
              <w:t xml:space="preserve">Journal d'actualité des droits européens</w:t>
            </w:r>
            <w:r>
              <w:rPr/>
              <w:t xml:space="preserve">, 2015</w:t>
            </w:r>
          </w:p>
          <w:p>
            <w:pPr/>
            <w:r>
              <w:rPr/>
              <w:t xml:space="preserve">Article dans une revue</w:t>
            </w:r>
          </w:p>
          <w:p>
            <w:pPr/>
            <w:hyperlink r:id="rId13" w:history="1">
              <w:r>
                <w:rPr>
                  <w:color w:val="#410a8c"/>
                  <w:u w:val="single"/>
                </w:rPr>
                <w:t xml:space="preserve">hal-02966494v1</w:t>
              </w:r>
            </w:hyperlink>
          </w:p>
        </w:tc>
      </w:tr>
      <w:tr>
        <w:trPr/>
        <w:tc>
          <w:tcPr>
            <w:noWrap/>
          </w:tcPr>
          <w:p>
            <w:pPr>
              <w:spacing w:after="200"/>
            </w:pPr>
            <w:hyperlink r:id="rId14" w:history="1">
              <w:r>
                <w:rPr>
                  <w:color w:val="1e198e"/>
                  <w:b w:val="1"/>
                  <w:bCs w:val="1"/>
                  <w:u w:val="single"/>
                </w:rPr>
                <w:t xml:space="preserve">Selon la Cour européenne, l'animal est un bien comme les autres</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2010, 2010-2</w:t>
            </w:r>
          </w:p>
          <w:p>
            <w:pPr/>
            <w:r>
              <w:rPr/>
              <w:t xml:space="preserve">Article dans une revue</w:t>
            </w:r>
          </w:p>
          <w:p>
            <w:pPr/>
            <w:hyperlink r:id="rId14" w:history="1">
              <w:r>
                <w:rPr>
                  <w:color w:val="#410a8c"/>
                  <w:u w:val="single"/>
                </w:rPr>
                <w:t xml:space="preserve">hal-03610801v1</w:t>
              </w:r>
            </w:hyperlink>
          </w:p>
        </w:tc>
      </w:tr>
      <w:tr>
        <w:trPr/>
        <w:tc>
          <w:tcPr>
            <w:noWrap/>
          </w:tcPr>
          <w:p>
            <w:pPr>
              <w:spacing w:after="200"/>
            </w:pPr>
            <w:hyperlink r:id="rId15" w:history="1">
              <w:r>
                <w:rPr>
                  <w:color w:val="1e198e"/>
                  <w:b w:val="1"/>
                  <w:bCs w:val="1"/>
                  <w:u w:val="single"/>
                </w:rPr>
                <w:t xml:space="preserve">De l’incidence de la Convention européenne des droits de l’Homme sur le contentieux relatif aux animaux (le droit au procès équitable) De l’incidence de la Convention européenne des droits de l’Homme sur le contentieux relatif aux animaux (le droit au respect des biens)</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2010, 2010-I</w:t>
            </w:r>
          </w:p>
          <w:p>
            <w:pPr/>
            <w:r>
              <w:rPr/>
              <w:t xml:space="preserve">Article dans une revue</w:t>
            </w:r>
          </w:p>
          <w:p>
            <w:pPr/>
            <w:hyperlink r:id="rId15" w:history="1">
              <w:r>
                <w:rPr>
                  <w:color w:val="#410a8c"/>
                  <w:u w:val="single"/>
                </w:rPr>
                <w:t xml:space="preserve">hal-03610812v1</w:t>
              </w:r>
            </w:hyperlink>
          </w:p>
        </w:tc>
      </w:tr>
      <w:tr>
        <w:trPr/>
        <w:tc>
          <w:tcPr>
            <w:noWrap/>
          </w:tcPr>
          <w:p>
            <w:pPr>
              <w:spacing w:after="200"/>
            </w:pPr>
            <w:hyperlink r:id="rId16" w:history="1">
              <w:r>
                <w:rPr>
                  <w:color w:val="1e198e"/>
                  <w:b w:val="1"/>
                  <w:bCs w:val="1"/>
                  <w:u w:val="single"/>
                </w:rPr>
                <w:t xml:space="preserve">La justiciabilité des droits sociaux (retour sur l’arrêt Inchenlaub, Cour de cassation, Chambre sociale, 16 décembre 2008)</w:t>
              </w:r>
            </w:hyperlink>
          </w:p>
          <w:p>
            <w:pPr/>
            <w:hyperlink r:id="rId8" w:history="1">
              <w:r>
                <w:rPr>
                  <w:color w:val="#410a8c"/>
                  <w:u w:val="single"/>
                </w:rPr>
                <w:t xml:space="preserve">Carine Laurent-Boutot</w:t>
              </w:r>
            </w:hyperlink>
          </w:p>
          <w:p>
            <w:pPr/>
            <w:r>
              <w:rPr>
                <w:i w:val="1"/>
                <w:iCs w:val="1"/>
              </w:rPr>
              <w:t xml:space="preserve">Revue de la Recherche Juridique - Droit prospectif</w:t>
            </w:r>
            <w:r>
              <w:rPr/>
              <w:t xml:space="preserve">, 2010, 3 (133), pp.1269</w:t>
            </w:r>
          </w:p>
          <w:p>
            <w:pPr/>
            <w:r>
              <w:rPr/>
              <w:t xml:space="preserve">Article dans une revue</w:t>
            </w:r>
          </w:p>
          <w:p>
            <w:pPr/>
            <w:hyperlink r:id="rId16" w:history="1">
              <w:r>
                <w:rPr>
                  <w:color w:val="#410a8c"/>
                  <w:u w:val="single"/>
                </w:rPr>
                <w:t xml:space="preserve">hal-03610459v1</w:t>
              </w:r>
            </w:hyperlink>
          </w:p>
        </w:tc>
      </w:tr>
      <w:tr>
        <w:trPr/>
        <w:tc>
          <w:tcPr>
            <w:noWrap/>
          </w:tcPr>
          <w:p>
            <w:pPr>
              <w:spacing w:after="200"/>
            </w:pPr>
            <w:hyperlink r:id="rId17" w:history="1">
              <w:r>
                <w:rPr>
                  <w:color w:val="1e198e"/>
                  <w:b w:val="1"/>
                  <w:bCs w:val="1"/>
                  <w:u w:val="single"/>
                </w:rPr>
                <w:t xml:space="preserve">La procédure des dossiers devant le Comité permanent de la Convention de Berne : vers l’ouverture d’une actio popularis au secours de la biodiversité</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2009</w:t>
            </w:r>
          </w:p>
          <w:p>
            <w:pPr/>
            <w:r>
              <w:rPr/>
              <w:t xml:space="preserve">Article dans une revue</w:t>
            </w:r>
          </w:p>
          <w:p>
            <w:pPr/>
            <w:hyperlink r:id="rId17" w:history="1">
              <w:r>
                <w:rPr>
                  <w:color w:val="#410a8c"/>
                  <w:u w:val="single"/>
                </w:rPr>
                <w:t xml:space="preserve">hal-03610919v1</w:t>
              </w:r>
            </w:hyperlink>
          </w:p>
        </w:tc>
      </w:tr>
      <w:tr>
        <w:trPr/>
        <w:tc>
          <w:tcPr>
            <w:noWrap/>
          </w:tcPr>
          <w:p>
            <w:pPr>
              <w:spacing w:after="200"/>
            </w:pPr>
            <w:hyperlink r:id="rId18" w:history="1">
              <w:r>
                <w:rPr>
                  <w:color w:val="1e198e"/>
                  <w:b w:val="1"/>
                  <w:bCs w:val="1"/>
                  <w:u w:val="single"/>
                </w:rPr>
                <w:t xml:space="preserve">Observations relatives aux arrêt du Conseil d’Etat des 18 juin 2008 et 23 février 2009</w:t>
              </w:r>
            </w:hyperlink>
          </w:p>
          <w:p>
            <w:pPr/>
            <w:hyperlink r:id="rId8" w:history="1">
              <w:r>
                <w:rPr>
                  <w:color w:val="#410a8c"/>
                  <w:u w:val="single"/>
                </w:rPr>
                <w:t xml:space="preserve">Carine Laurent-Boutot</w:t>
              </w:r>
            </w:hyperlink>
          </w:p>
          <w:p>
            <w:pPr/>
            <w:r>
              <w:rPr>
                <w:i w:val="1"/>
                <w:iCs w:val="1"/>
              </w:rPr>
              <w:t xml:space="preserve">Revue semestrielle de droit animalier</w:t>
            </w:r>
            <w:r>
              <w:rPr/>
              <w:t xml:space="preserve">, 2009</w:t>
            </w:r>
          </w:p>
          <w:p>
            <w:pPr/>
            <w:r>
              <w:rPr/>
              <w:t xml:space="preserve">Article dans une revue</w:t>
            </w:r>
          </w:p>
          <w:p>
            <w:pPr/>
            <w:hyperlink r:id="rId18" w:history="1">
              <w:r>
                <w:rPr>
                  <w:color w:val="#410a8c"/>
                  <w:u w:val="single"/>
                </w:rPr>
                <w:t xml:space="preserve">hal-03610925v1</w:t>
              </w:r>
            </w:hyperlink>
          </w:p>
        </w:tc>
      </w:tr>
      <w:tr>
        <w:trPr/>
        <w:tc>
          <w:tcPr>
            <w:noWrap/>
          </w:tcPr>
          <w:p>
            <w:pPr>
              <w:spacing w:after="200"/>
            </w:pPr>
            <w:hyperlink r:id="rId19" w:history="1">
              <w:r>
                <w:rPr>
                  <w:color w:val="1e198e"/>
                  <w:b w:val="1"/>
                  <w:bCs w:val="1"/>
                  <w:u w:val="single"/>
                </w:rPr>
                <w:t xml:space="preserve">L’égalité dans l’établissement des filiations : la Cour de cassation précède, in extremis, le législateur.</w:t>
              </w:r>
            </w:hyperlink>
          </w:p>
          <w:p>
            <w:pPr/>
            <w:hyperlink r:id="rId8" w:history="1">
              <w:r>
                <w:rPr>
                  <w:color w:val="#410a8c"/>
                  <w:u w:val="single"/>
                </w:rPr>
                <w:t xml:space="preserve">Carine Laurent-Boutot</w:t>
              </w:r>
            </w:hyperlink>
          </w:p>
          <w:p>
            <w:pPr/>
            <w:r>
              <w:rPr>
                <w:i w:val="1"/>
                <w:iCs w:val="1"/>
              </w:rPr>
              <w:t xml:space="preserve">Annuaire de droit européen</w:t>
            </w:r>
            <w:r>
              <w:rPr/>
              <w:t xml:space="preserve">, 2008, IV-2006</w:t>
            </w:r>
          </w:p>
          <w:p>
            <w:pPr/>
            <w:r>
              <w:rPr/>
              <w:t xml:space="preserve">Article dans une revue</w:t>
            </w:r>
          </w:p>
          <w:p>
            <w:pPr/>
            <w:hyperlink r:id="rId19" w:history="1">
              <w:r>
                <w:rPr>
                  <w:color w:val="#410a8c"/>
                  <w:u w:val="single"/>
                </w:rPr>
                <w:t xml:space="preserve">hal-03610933v1</w:t>
              </w:r>
            </w:hyperlink>
          </w:p>
        </w:tc>
      </w:tr>
      <w:tr>
        <w:trPr/>
        <w:tc>
          <w:tcPr>
            <w:noWrap/>
          </w:tcPr>
          <w:p>
            <w:pPr>
              <w:spacing w:after="200"/>
            </w:pPr>
            <w:hyperlink r:id="rId20" w:history="1">
              <w:r>
                <w:rPr>
                  <w:color w:val="1e198e"/>
                  <w:b w:val="1"/>
                  <w:bCs w:val="1"/>
                  <w:u w:val="single"/>
                </w:rPr>
                <w:t xml:space="preserve">Le précieux soutien de la Cour EDH aux revirements pour l’avenir</w:t>
              </w:r>
            </w:hyperlink>
          </w:p>
          <w:p>
            <w:pPr/>
            <w:hyperlink r:id="rId8" w:history="1">
              <w:r>
                <w:rPr>
                  <w:color w:val="#410a8c"/>
                  <w:u w:val="single"/>
                </w:rPr>
                <w:t xml:space="preserve">Carine Laurent-Boutot</w:t>
              </w:r>
            </w:hyperlink>
          </w:p>
          <w:p>
            <w:pPr/>
            <w:r>
              <w:rPr>
                <w:i w:val="1"/>
                <w:iCs w:val="1"/>
              </w:rPr>
              <w:t xml:space="preserve">Annuaire de droit européen</w:t>
            </w:r>
            <w:r>
              <w:rPr/>
              <w:t xml:space="preserve">, 2008, Vol. IV - 2006</w:t>
            </w:r>
          </w:p>
          <w:p>
            <w:pPr/>
            <w:r>
              <w:rPr/>
              <w:t xml:space="preserve">Article dans une revue</w:t>
            </w:r>
          </w:p>
          <w:p>
            <w:pPr/>
            <w:hyperlink r:id="rId20" w:history="1">
              <w:r>
                <w:rPr>
                  <w:color w:val="#410a8c"/>
                  <w:u w:val="single"/>
                </w:rPr>
                <w:t xml:space="preserve">hal-03610939v1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posture normative des chiens de faïence. Le face à face entre les organisations internationales européennes et la Pologne</w:t>
              </w:r>
            </w:hyperlink>
          </w:p>
          <w:p>
            <w:pPr/>
            <w:hyperlink r:id="rId8" w:history="1">
              <w:r>
                <w:rPr>
                  <w:color w:val="#410a8c"/>
                  <w:u w:val="single"/>
                </w:rPr>
                <w:t xml:space="preserve">Carine Laurent-Boutot</w:t>
              </w:r>
            </w:hyperlink>
          </w:p>
          <w:p>
            <w:pPr/>
            <w:r>
              <w:rPr/>
              <w:t xml:space="preserve">Cyril Sintez. </w:t>
            </w:r>
            <w:r>
              <w:rPr>
                <w:i w:val="1"/>
                <w:iCs w:val="1"/>
              </w:rPr>
              <w:t xml:space="preserve">La posture normative. Une voie d'incarnation de la normativité</w:t>
            </w:r>
            <w:r>
              <w:rPr/>
              <w:t xml:space="preserve">, Mare et Martin, pp.73-88, 2024, 978-2-84934-748-5</w:t>
            </w:r>
          </w:p>
          <w:p>
            <w:pPr/>
            <w:r>
              <w:rPr/>
              <w:t xml:space="preserve">Chapitre d'ouvrage</w:t>
            </w:r>
          </w:p>
          <w:p>
            <w:pPr/>
            <w:hyperlink r:id="rId21" w:history="1">
              <w:r>
                <w:rPr>
                  <w:color w:val="#410a8c"/>
                  <w:u w:val="single"/>
                </w:rPr>
                <w:t xml:space="preserve">hal-04738652v1</w:t>
              </w:r>
            </w:hyperlink>
          </w:p>
        </w:tc>
      </w:tr>
      <w:tr>
        <w:trPr/>
        <w:tc>
          <w:tcPr>
            <w:noWrap/>
          </w:tcPr>
          <w:p>
            <w:pPr>
              <w:spacing w:after="200"/>
            </w:pPr>
            <w:hyperlink r:id="rId22" w:history="1">
              <w:r>
                <w:rPr>
                  <w:color w:val="1e198e"/>
                  <w:b w:val="1"/>
                  <w:bCs w:val="1"/>
                  <w:u w:val="single"/>
                </w:rPr>
                <w:t xml:space="preserve">Policiers : bien maltraités</w:t>
              </w:r>
            </w:hyperlink>
          </w:p>
          <w:p>
            <w:pPr/>
            <w:hyperlink r:id="rId8" w:history="1">
              <w:r>
                <w:rPr>
                  <w:color w:val="#410a8c"/>
                  <w:u w:val="single"/>
                </w:rPr>
                <w:t xml:space="preserve">Carine Laurent-Boutot</w:t>
              </w:r>
            </w:hyperlink>
          </w:p>
          <w:p>
            <w:pPr/>
            <w:r>
              <w:rPr/>
              <w:t xml:space="preserve">Afroukh Mustapha. </w:t>
            </w:r>
            <w:r>
              <w:rPr>
                <w:i w:val="1"/>
                <w:iCs w:val="1"/>
              </w:rPr>
              <w:t xml:space="preserve">En finir avec les idées reçues sur la Convention européenne des droits de l'homme</w:t>
            </w:r>
            <w:r>
              <w:rPr/>
              <w:t xml:space="preserve">, Mare et Martin; Horizons européens, pp.277-282, 2024, Horizons européens, 978-2-84934-788-1</w:t>
            </w:r>
          </w:p>
          <w:p>
            <w:pPr/>
            <w:r>
              <w:rPr/>
              <w:t xml:space="preserve">Chapitre d'ouvrage</w:t>
            </w:r>
          </w:p>
          <w:p>
            <w:pPr/>
            <w:hyperlink r:id="rId22" w:history="1">
              <w:r>
                <w:rPr>
                  <w:color w:val="#410a8c"/>
                  <w:u w:val="single"/>
                </w:rPr>
                <w:t xml:space="preserve">hal-04449385v1</w:t>
              </w:r>
            </w:hyperlink>
          </w:p>
        </w:tc>
      </w:tr>
      <w:tr>
        <w:trPr/>
        <w:tc>
          <w:tcPr>
            <w:noWrap/>
          </w:tcPr>
          <w:p>
            <w:pPr>
              <w:spacing w:after="200"/>
            </w:pPr>
            <w:hyperlink r:id="rId23" w:history="1">
              <w:r>
                <w:rPr>
                  <w:color w:val="1e198e"/>
                  <w:b w:val="1"/>
                  <w:bCs w:val="1"/>
                  <w:u w:val="single"/>
                </w:rPr>
                <w:t xml:space="preserve">Les contentieux stratégiques et la Cour européenne des droits de l'Homme</w:t>
              </w:r>
            </w:hyperlink>
          </w:p>
          <w:p>
            <w:pPr/>
            <w:hyperlink r:id="rId8" w:history="1">
              <w:r>
                <w:rPr>
                  <w:color w:val="#410a8c"/>
                  <w:u w:val="single"/>
                </w:rPr>
                <w:t xml:space="preserve">Carine Laurent-Boutot</w:t>
              </w:r>
            </w:hyperlink>
            <w:r>
              <w:rPr/>
              <w:t xml:space="preserve">,</w:t>
            </w:r>
            <w:hyperlink r:id="rId24" w:history="1">
              <w:r>
                <w:rPr>
                  <w:color w:val="#410a8c"/>
                  <w:u w:val="single"/>
                </w:rPr>
                <w:t xml:space="preserve">Delphine Tharaud</w:t>
              </w:r>
            </w:hyperlink>
          </w:p>
          <w:p>
            <w:pPr/>
            <w:r>
              <w:rPr/>
              <w:t xml:space="preserve">Caroline Boyer-Capelle ; Émilie Chevalier. </w:t>
            </w:r>
            <w:r>
              <w:rPr>
                <w:i w:val="1"/>
                <w:iCs w:val="1"/>
              </w:rPr>
              <w:t xml:space="preserve">Contentieux stratégiques - Quelle place du juge dans la cité</w:t>
            </w:r>
            <w:r>
              <w:rPr/>
              <w:t xml:space="preserve">, LexisNexis, 2024, 978-2-7110-3671-4</w:t>
            </w:r>
          </w:p>
          <w:p>
            <w:pPr/>
            <w:r>
              <w:rPr/>
              <w:t xml:space="preserve">Chapitre d'ouvrage</w:t>
            </w:r>
          </w:p>
          <w:p>
            <w:pPr/>
            <w:hyperlink r:id="rId23" w:history="1">
              <w:r>
                <w:rPr>
                  <w:color w:val="#410a8c"/>
                  <w:u w:val="single"/>
                </w:rPr>
                <w:t xml:space="preserve">hal-04738635v1</w:t>
              </w:r>
            </w:hyperlink>
          </w:p>
        </w:tc>
      </w:tr>
      <w:tr>
        <w:trPr/>
        <w:tc>
          <w:tcPr>
            <w:noWrap/>
          </w:tcPr>
          <w:p>
            <w:pPr>
              <w:spacing w:after="200"/>
            </w:pPr>
            <w:hyperlink r:id="rId25" w:history="1">
              <w:r>
                <w:rPr>
                  <w:color w:val="1e198e"/>
                  <w:b w:val="1"/>
                  <w:bCs w:val="1"/>
                  <w:u w:val="single"/>
                </w:rPr>
                <w:t xml:space="preserve">Manquer le premier épisode de la trilogie. La force normative des droits de l'Homme définis par le droit européen et international</w:t>
              </w:r>
            </w:hyperlink>
          </w:p>
          <w:p>
            <w:pPr/>
            <w:hyperlink r:id="rId8" w:history="1">
              <w:r>
                <w:rPr>
                  <w:color w:val="#410a8c"/>
                  <w:u w:val="single"/>
                </w:rPr>
                <w:t xml:space="preserve">Carine Laurent-Boutot</w:t>
              </w:r>
            </w:hyperlink>
          </w:p>
          <w:p>
            <w:pPr/>
            <w:r>
              <w:rPr/>
              <w:t xml:space="preserve">Cyril Sintez ; Mathilde Hautereau-Boutonnet. </w:t>
            </w:r>
            <w:r>
              <w:rPr>
                <w:i w:val="1"/>
                <w:iCs w:val="1"/>
              </w:rPr>
              <w:t xml:space="preserve">Être en recherche. Études en l'honneur du Professeur Catherine Thibierge</w:t>
            </w:r>
            <w:r>
              <w:rPr/>
              <w:t xml:space="preserve">, Mare et Martin, pp.243-256, 2023, Être en recherche, 978-2-84934-745-4</w:t>
            </w:r>
          </w:p>
          <w:p>
            <w:pPr/>
            <w:r>
              <w:rPr/>
              <w:t xml:space="preserve">Chapitre d'ouvrage</w:t>
            </w:r>
          </w:p>
          <w:p>
            <w:pPr/>
            <w:hyperlink r:id="rId25" w:history="1">
              <w:r>
                <w:rPr>
                  <w:color w:val="#410a8c"/>
                  <w:u w:val="single"/>
                </w:rPr>
                <w:t xml:space="preserve">hal-04738643v1</w:t>
              </w:r>
            </w:hyperlink>
          </w:p>
        </w:tc>
      </w:tr>
      <w:tr>
        <w:trPr/>
        <w:tc>
          <w:tcPr>
            <w:noWrap/>
          </w:tcPr>
          <w:p>
            <w:pPr>
              <w:spacing w:after="200"/>
            </w:pPr>
            <w:hyperlink r:id="rId26" w:history="1">
              <w:r>
                <w:rPr>
                  <w:color w:val="1e198e"/>
                  <w:b w:val="1"/>
                  <w:bCs w:val="1"/>
                  <w:u w:val="single"/>
                </w:rPr>
                <w:t xml:space="preserve">Entrées, Débat public, Emeutes, Publicité</w:t>
              </w:r>
            </w:hyperlink>
          </w:p>
          <w:p>
            <w:pPr/>
            <w:hyperlink r:id="rId27" w:history="1">
              <w:r>
                <w:rPr>
                  <w:color w:val="#410a8c"/>
                  <w:u w:val="single"/>
                </w:rPr>
                <w:t xml:space="preserve">Xavier Bioy</w:t>
              </w:r>
            </w:hyperlink>
            <w:r>
              <w:rPr/>
              <w:t xml:space="preserve">,</w:t>
            </w:r>
            <w:hyperlink r:id="rId8" w:history="1">
              <w:r>
                <w:rPr>
                  <w:color w:val="#410a8c"/>
                  <w:u w:val="single"/>
                </w:rPr>
                <w:t xml:space="preserve">Carine Laurent-Boutot</w:t>
              </w:r>
            </w:hyperlink>
            <w:r>
              <w:rPr/>
              <w:t xml:space="preserve">,</w:t>
            </w:r>
            <w:hyperlink r:id="rId28" w:history="1">
              <w:r>
                <w:rPr>
                  <w:color w:val="#410a8c"/>
                  <w:u w:val="single"/>
                </w:rPr>
                <w:t xml:space="preserve">Yannick Lécuyer</w:t>
              </w:r>
            </w:hyperlink>
            <w:r>
              <w:rPr/>
              <w:t xml:space="preserve">,</w:t>
            </w:r>
            <w:hyperlink r:id="rId24" w:history="1">
              <w:r>
                <w:rPr>
                  <w:color w:val="#410a8c"/>
                  <w:u w:val="single"/>
                </w:rPr>
                <w:t xml:space="preserve">Delphine Tharaud</w:t>
              </w:r>
            </w:hyperlink>
          </w:p>
          <w:p>
            <w:pPr/>
            <w:r>
              <w:rPr>
                <w:i w:val="1"/>
                <w:iCs w:val="1"/>
              </w:rPr>
              <w:t xml:space="preserve">Dictionnaire thématique de la Convention européenne des droits de l’Homme</w:t>
            </w:r>
            <w:r>
              <w:rPr/>
              <w:t xml:space="preserve">, Editions A. Pedone, 2022, 9782233010186</w:t>
            </w:r>
          </w:p>
          <w:p>
            <w:pPr/>
            <w:r>
              <w:rPr/>
              <w:t xml:space="preserve">Chapitre d'ouvrage</w:t>
            </w:r>
          </w:p>
          <w:p>
            <w:pPr/>
            <w:hyperlink r:id="rId26" w:history="1">
              <w:r>
                <w:rPr>
                  <w:color w:val="#410a8c"/>
                  <w:u w:val="single"/>
                </w:rPr>
                <w:t xml:space="preserve">hal-04131490v1</w:t>
              </w:r>
            </w:hyperlink>
          </w:p>
        </w:tc>
      </w:tr>
      <w:tr>
        <w:trPr/>
        <w:tc>
          <w:tcPr>
            <w:noWrap/>
          </w:tcPr>
          <w:p>
            <w:pPr>
              <w:spacing w:after="200"/>
            </w:pPr>
            <w:hyperlink r:id="rId29" w:history="1">
              <w:r>
                <w:rPr>
                  <w:color w:val="1e198e"/>
                  <w:b w:val="1"/>
                  <w:bCs w:val="1"/>
                  <w:u w:val="single"/>
                </w:rPr>
                <w:t xml:space="preserve">Voir : Adoption, Enfant à naître, Gestation pour autrui, Procréation médicalement assistée, Prison, Santé</w:t>
              </w:r>
            </w:hyperlink>
          </w:p>
          <w:p>
            <w:pPr/>
            <w:hyperlink r:id="rId8" w:history="1">
              <w:r>
                <w:rPr>
                  <w:color w:val="#410a8c"/>
                  <w:u w:val="single"/>
                </w:rPr>
                <w:t xml:space="preserve">Carine Laurent-Boutot</w:t>
              </w:r>
            </w:hyperlink>
          </w:p>
          <w:p>
            <w:pPr/>
            <w:r>
              <w:rPr/>
              <w:t xml:space="preserve">Dir. Carine Laurent-Boutot ; Yannick Lecuyer ; Delphine Tharaud. </w:t>
            </w:r>
            <w:r>
              <w:rPr>
                <w:i w:val="1"/>
                <w:iCs w:val="1"/>
              </w:rPr>
              <w:t xml:space="preserve">Dictionnaire thématique de la Convention européenne des droits de l'Homme</w:t>
            </w:r>
            <w:r>
              <w:rPr/>
              <w:t xml:space="preserve">, </w:t>
            </w:r>
            <w:hyperlink r:id="rId30" w:history="1">
              <w:r>
                <w:rPr>
                  <w:color w:val="#410a8c"/>
                  <w:u w:val="single"/>
                </w:rPr>
                <w:t xml:space="preserve">Pedone</w:t>
              </w:r>
            </w:hyperlink>
            <w:r>
              <w:rPr/>
              <w:t xml:space="preserve">, 2022, 9782233010186</w:t>
            </w:r>
          </w:p>
          <w:p>
            <w:pPr/>
            <w:r>
              <w:rPr/>
              <w:t xml:space="preserve">Chapitre d'ouvrage</w:t>
            </w:r>
          </w:p>
          <w:p>
            <w:pPr/>
            <w:hyperlink r:id="rId29" w:history="1">
              <w:r>
                <w:rPr>
                  <w:color w:val="#410a8c"/>
                  <w:u w:val="single"/>
                </w:rPr>
                <w:t xml:space="preserve">hal-03610611v1</w:t>
              </w:r>
            </w:hyperlink>
          </w:p>
        </w:tc>
      </w:tr>
      <w:tr>
        <w:trPr/>
        <w:tc>
          <w:tcPr>
            <w:noWrap/>
          </w:tcPr>
          <w:p>
            <w:pPr>
              <w:spacing w:after="200"/>
            </w:pPr>
            <w:hyperlink r:id="rId31" w:history="1">
              <w:r>
                <w:rPr>
                  <w:color w:val="1e198e"/>
                  <w:b w:val="1"/>
                  <w:bCs w:val="1"/>
                  <w:u w:val="single"/>
                </w:rPr>
                <w:t xml:space="preserve">La garantie normative de la Convention européenne des droits de l'homme</w:t>
              </w:r>
            </w:hyperlink>
          </w:p>
          <w:p>
            <w:pPr/>
            <w:hyperlink r:id="rId8" w:history="1">
              <w:r>
                <w:rPr>
                  <w:color w:val="#410a8c"/>
                  <w:u w:val="single"/>
                </w:rPr>
                <w:t xml:space="preserve">Carine Laurent-Boutot</w:t>
              </w:r>
            </w:hyperlink>
          </w:p>
          <w:p>
            <w:pPr/>
            <w:r>
              <w:rPr/>
              <w:t xml:space="preserve">Thibierge, Catherine. </w:t>
            </w:r>
            <w:r>
              <w:rPr>
                <w:i w:val="1"/>
                <w:iCs w:val="1"/>
              </w:rPr>
              <w:t xml:space="preserve">La garantie normative. Exploration d'une notion-fonction</w:t>
            </w:r>
            <w:r>
              <w:rPr/>
              <w:t xml:space="preserve">, Mare &amp; Martin, pp.255-266, 2021, Droit privé &amp; sciences criminelles, 9782849345184</w:t>
            </w:r>
          </w:p>
          <w:p>
            <w:pPr/>
            <w:r>
              <w:rPr/>
              <w:t xml:space="preserve">Chapitre d'ouvrage</w:t>
            </w:r>
          </w:p>
          <w:p>
            <w:pPr/>
            <w:hyperlink r:id="rId31" w:history="1">
              <w:r>
                <w:rPr>
                  <w:color w:val="#410a8c"/>
                  <w:u w:val="single"/>
                </w:rPr>
                <w:t xml:space="preserve">hal-03475779v1</w:t>
              </w:r>
            </w:hyperlink>
          </w:p>
        </w:tc>
      </w:tr>
      <w:tr>
        <w:trPr/>
        <w:tc>
          <w:tcPr>
            <w:noWrap/>
          </w:tcPr>
          <w:p>
            <w:pPr>
              <w:spacing w:after="200"/>
            </w:pPr>
            <w:hyperlink r:id="rId32" w:history="1">
              <w:r>
                <w:rPr>
                  <w:color w:val="1e198e"/>
                  <w:b w:val="1"/>
                  <w:bCs w:val="1"/>
                  <w:u w:val="single"/>
                </w:rPr>
                <w:t xml:space="preserve">L'égalité des sexes dans Star Wars : la tectonique des forces</w:t>
              </w:r>
            </w:hyperlink>
          </w:p>
          <w:p>
            <w:pPr/>
            <w:hyperlink r:id="rId8" w:history="1">
              <w:r>
                <w:rPr>
                  <w:color w:val="#410a8c"/>
                  <w:u w:val="single"/>
                </w:rPr>
                <w:t xml:space="preserve">Carine Laurent-Boutot</w:t>
              </w:r>
            </w:hyperlink>
            <w:r>
              <w:rPr/>
              <w:t xml:space="preserve">,</w:t>
            </w:r>
            <w:hyperlink r:id="rId24" w:history="1">
              <w:r>
                <w:rPr>
                  <w:color w:val="#410a8c"/>
                  <w:u w:val="single"/>
                </w:rPr>
                <w:t xml:space="preserve">Delphine Tharaud</w:t>
              </w:r>
            </w:hyperlink>
          </w:p>
          <w:p>
            <w:pPr/>
            <w:r>
              <w:rPr/>
              <w:t xml:space="preserve">Sous la direction de Alexandre Ciaudo, Yannick Lecuyer, Anne-Laure Mosbrucker. </w:t>
            </w:r>
            <w:r>
              <w:rPr>
                <w:i w:val="1"/>
                <w:iCs w:val="1"/>
              </w:rPr>
              <w:t xml:space="preserve">Le droit contre-attaque. L'univers Star Wars au prisme du droit</w:t>
            </w:r>
            <w:r>
              <w:rPr/>
              <w:t xml:space="preserve">, Presse Universitaire de Franche-Comté, 2021, 978-2-84867-864-1</w:t>
            </w:r>
          </w:p>
          <w:p>
            <w:pPr/>
            <w:r>
              <w:rPr/>
              <w:t xml:space="preserve">Chapitre d'ouvrage</w:t>
            </w:r>
          </w:p>
          <w:p>
            <w:pPr/>
            <w:hyperlink r:id="rId32" w:history="1">
              <w:r>
                <w:rPr>
                  <w:color w:val="#410a8c"/>
                  <w:u w:val="single"/>
                </w:rPr>
                <w:t xml:space="preserve">hal-03609270v1</w:t>
              </w:r>
            </w:hyperlink>
          </w:p>
        </w:tc>
      </w:tr>
      <w:tr>
        <w:trPr/>
        <w:tc>
          <w:tcPr>
            <w:noWrap/>
          </w:tcPr>
          <w:p>
            <w:pPr>
              <w:spacing w:after="200"/>
            </w:pPr>
            <w:hyperlink r:id="rId33" w:history="1">
              <w:r>
                <w:rPr>
                  <w:color w:val="1e198e"/>
                  <w:b w:val="1"/>
                  <w:bCs w:val="1"/>
                  <w:u w:val="single"/>
                </w:rPr>
                <w:t xml:space="preserve">Voir : Déclaration Universelle des droits de l’Homme ; Pacte de New-York relatif aux droits civils et politiques et Comité des droits de l’homme ; Pacte de New-York relatif aux droits économiques sociaux et culturels et Comité des droits économiques sociaux et culturels ; Convention sur l’élimination de toutes formes de discriminations raciales ; Comité pour l’élimination de la discrimination raciale, Convention internationale des droits de l’enfant, Comité des droits de l’enfant</w:t>
              </w:r>
            </w:hyperlink>
          </w:p>
          <w:p>
            <w:pPr/>
            <w:hyperlink r:id="rId8" w:history="1">
              <w:r>
                <w:rPr>
                  <w:color w:val="#410a8c"/>
                  <w:u w:val="single"/>
                </w:rPr>
                <w:t xml:space="preserve">Carine Laurent-Boutot</w:t>
              </w:r>
            </w:hyperlink>
          </w:p>
          <w:p>
            <w:pPr/>
            <w:r>
              <w:rPr/>
              <w:t xml:space="preserve">Dir. Delphine Tharaud et Caroline Boyer-Capelle. </w:t>
            </w:r>
            <w:r>
              <w:rPr>
                <w:i w:val="1"/>
                <w:iCs w:val="1"/>
              </w:rPr>
              <w:t xml:space="preserve">Dictionnaire juridique de l'égalité et de la non-discrimination</w:t>
            </w:r>
            <w:r>
              <w:rPr/>
              <w:t xml:space="preserve">, </w:t>
            </w:r>
            <w:hyperlink r:id="rId34" w:history="1">
              <w:r>
                <w:rPr>
                  <w:color w:val="#410a8c"/>
                  <w:u w:val="single"/>
                </w:rPr>
                <w:t xml:space="preserve">L'Harmattan</w:t>
              </w:r>
            </w:hyperlink>
            <w:r>
              <w:rPr/>
              <w:t xml:space="preserve">, 2021, 978-2-343-21863-2</w:t>
            </w:r>
          </w:p>
          <w:p>
            <w:pPr/>
            <w:r>
              <w:rPr/>
              <w:t xml:space="preserve">Chapitre d'ouvrage</w:t>
            </w:r>
          </w:p>
          <w:p>
            <w:pPr/>
            <w:hyperlink r:id="rId33" w:history="1">
              <w:r>
                <w:rPr>
                  <w:color w:val="#410a8c"/>
                  <w:u w:val="single"/>
                </w:rPr>
                <w:t xml:space="preserve">hal-03610428v1</w:t>
              </w:r>
            </w:hyperlink>
          </w:p>
        </w:tc>
      </w:tr>
      <w:tr>
        <w:trPr/>
        <w:tc>
          <w:tcPr>
            <w:noWrap/>
          </w:tcPr>
          <w:p>
            <w:pPr>
              <w:spacing w:after="200"/>
            </w:pPr>
            <w:hyperlink r:id="rId35" w:history="1">
              <w:r>
                <w:rPr>
                  <w:color w:val="1e198e"/>
                  <w:b w:val="1"/>
                  <w:bCs w:val="1"/>
                  <w:u w:val="single"/>
                </w:rPr>
                <w:t xml:space="preserve">L’Europe face à la vague populiste : les postures normatives de l’Union européenne et du Conseil de l’Europe</w:t>
              </w:r>
            </w:hyperlink>
          </w:p>
          <w:p>
            <w:pPr/>
            <w:hyperlink r:id="rId8" w:history="1">
              <w:r>
                <w:rPr>
                  <w:color w:val="#410a8c"/>
                  <w:u w:val="single"/>
                </w:rPr>
                <w:t xml:space="preserve">Carine Laurent-Boutot</w:t>
              </w:r>
            </w:hyperlink>
          </w:p>
          <w:p>
            <w:pPr/>
            <w:r>
              <w:rPr/>
              <w:t xml:space="preserve">N. Haupais ; T. Pouthier ; P. Szwedo ; W. Zagorski. </w:t>
            </w:r>
            <w:r>
              <w:rPr>
                <w:i w:val="1"/>
                <w:iCs w:val="1"/>
              </w:rPr>
              <w:t xml:space="preserve">Le constitutionnalisé face au populisme en Europe centrale</w:t>
            </w:r>
            <w:r>
              <w:rPr/>
              <w:t xml:space="preserve">, 32, Lextenso-LGDJ, 2021, Transition et justice, 978-2-37032-317-0</w:t>
            </w:r>
          </w:p>
          <w:p>
            <w:pPr/>
            <w:r>
              <w:rPr/>
              <w:t xml:space="preserve">Chapitre d'ouvrage</w:t>
            </w:r>
          </w:p>
          <w:p>
            <w:pPr/>
            <w:hyperlink r:id="rId35" w:history="1">
              <w:r>
                <w:rPr>
                  <w:color w:val="#410a8c"/>
                  <w:u w:val="single"/>
                </w:rPr>
                <w:t xml:space="preserve">hal-03609758v1</w:t>
              </w:r>
            </w:hyperlink>
          </w:p>
        </w:tc>
      </w:tr>
      <w:tr>
        <w:trPr/>
        <w:tc>
          <w:tcPr>
            <w:noWrap/>
          </w:tcPr>
          <w:p>
            <w:pPr>
              <w:spacing w:after="200"/>
            </w:pPr>
            <w:hyperlink r:id="rId36" w:history="1">
              <w:r>
                <w:rPr>
                  <w:color w:val="1e198e"/>
                  <w:b w:val="1"/>
                  <w:bCs w:val="1"/>
                  <w:u w:val="single"/>
                </w:rPr>
                <w:t xml:space="preserve">V° « Personnes âgées » et « Vulnérabilité »,</w:t>
              </w:r>
            </w:hyperlink>
          </w:p>
          <w:p>
            <w:pPr/>
            <w:hyperlink r:id="rId37" w:history="1">
              <w:r>
                <w:rPr>
                  <w:color w:val="#410a8c"/>
                  <w:u w:val="single"/>
                </w:rPr>
                <w:t xml:space="preserve">Diane Roman</w:t>
              </w:r>
            </w:hyperlink>
            <w:r>
              <w:rPr/>
              <w:t xml:space="preserve">,</w:t>
            </w:r>
            <w:hyperlink r:id="rId8" w:history="1">
              <w:r>
                <w:rPr>
                  <w:color w:val="#410a8c"/>
                  <w:u w:val="single"/>
                </w:rPr>
                <w:t xml:space="preserve">Carine Laurent-Boutot</w:t>
              </w:r>
            </w:hyperlink>
            <w:r>
              <w:rPr/>
              <w:t xml:space="preserve">,</w:t>
            </w:r>
            <w:hyperlink r:id="rId28" w:history="1">
              <w:r>
                <w:rPr>
                  <w:color w:val="#410a8c"/>
                  <w:u w:val="single"/>
                </w:rPr>
                <w:t xml:space="preserve">Yannick Lécuyer</w:t>
              </w:r>
            </w:hyperlink>
            <w:r>
              <w:rPr/>
              <w:t xml:space="preserve">,</w:t>
            </w:r>
            <w:hyperlink r:id="rId24" w:history="1">
              <w:r>
                <w:rPr>
                  <w:color w:val="#410a8c"/>
                  <w:u w:val="single"/>
                </w:rPr>
                <w:t xml:space="preserve">Delphine Tharaud</w:t>
              </w:r>
            </w:hyperlink>
          </w:p>
          <w:p>
            <w:pPr/>
            <w:r>
              <w:rPr>
                <w:i w:val="1"/>
                <w:iCs w:val="1"/>
              </w:rPr>
              <w:t xml:space="preserve">Dictionnaire thématique de la CEDH</w:t>
            </w:r>
            <w:r>
              <w:rPr/>
              <w:t xml:space="preserve">, Pedone, A paraître</w:t>
            </w:r>
          </w:p>
          <w:p>
            <w:pPr/>
            <w:r>
              <w:rPr/>
              <w:t xml:space="preserve">Chapitre d'ouvrage</w:t>
            </w:r>
          </w:p>
          <w:p>
            <w:pPr/>
            <w:hyperlink r:id="rId36" w:history="1">
              <w:r>
                <w:rPr>
                  <w:color w:val="#410a8c"/>
                  <w:u w:val="single"/>
                </w:rPr>
                <w:t xml:space="preserve">halshs-03240661v1</w:t>
              </w:r>
            </w:hyperlink>
          </w:p>
        </w:tc>
      </w:tr>
      <w:tr>
        <w:trPr/>
        <w:tc>
          <w:tcPr>
            <w:noWrap/>
          </w:tcPr>
          <w:p>
            <w:pPr>
              <w:spacing w:after="200"/>
            </w:pPr>
            <w:hyperlink r:id="rId38" w:history="1">
              <w:r>
                <w:rPr>
                  <w:color w:val="1e198e"/>
                  <w:b w:val="1"/>
                  <w:bCs w:val="1"/>
                  <w:u w:val="single"/>
                </w:rPr>
                <w:t xml:space="preserve">L’épilogue de l’affaire Babyloup : la circulation normative chaotique de la liberté religieuse</w:t>
              </w:r>
            </w:hyperlink>
          </w:p>
          <w:p>
            <w:pPr/>
            <w:hyperlink r:id="rId8" w:history="1">
              <w:r>
                <w:rPr>
                  <w:color w:val="#410a8c"/>
                  <w:u w:val="single"/>
                </w:rPr>
                <w:t xml:space="preserve">Carine Laurent-Boutot</w:t>
              </w:r>
            </w:hyperlink>
          </w:p>
          <w:p>
            <w:pPr/>
            <w:r>
              <w:rPr/>
              <w:t xml:space="preserve">J-P Marguénaud ; C. Radé ; M-C Meyzeaud-Garaud ; X. Perrot. </w:t>
            </w:r>
            <w:r>
              <w:rPr>
                <w:i w:val="1"/>
                <w:iCs w:val="1"/>
              </w:rPr>
              <w:t xml:space="preserve">Mélanges offerts au Professeur Jean Mouly : voyage au bout de la logique juridique</w:t>
            </w:r>
            <w:r>
              <w:rPr/>
              <w:t xml:space="preserve">, PULIM, 2020, 978 284 287 805 4</w:t>
            </w:r>
          </w:p>
          <w:p>
            <w:pPr/>
            <w:r>
              <w:rPr/>
              <w:t xml:space="preserve">Chapitre d'ouvrage</w:t>
            </w:r>
          </w:p>
          <w:p>
            <w:pPr/>
            <w:hyperlink r:id="rId38" w:history="1">
              <w:r>
                <w:rPr>
                  <w:color w:val="#410a8c"/>
                  <w:u w:val="single"/>
                </w:rPr>
                <w:t xml:space="preserve">hal-03609750v1</w:t>
              </w:r>
            </w:hyperlink>
          </w:p>
        </w:tc>
      </w:tr>
      <w:tr>
        <w:trPr/>
        <w:tc>
          <w:tcPr>
            <w:noWrap/>
          </w:tcPr>
          <w:p>
            <w:pPr>
              <w:spacing w:after="200"/>
            </w:pPr>
            <w:hyperlink r:id="rId39" w:history="1">
              <w:r>
                <w:rPr>
                  <w:color w:val="1e198e"/>
                  <w:b w:val="1"/>
                  <w:bCs w:val="1"/>
                  <w:u w:val="single"/>
                </w:rPr>
                <w:t xml:space="preserve">L'injusticiabilité des droits sociaux consacrés par les traités internationaux protecteurs des droits de l'Homme</w:t>
              </w:r>
            </w:hyperlink>
          </w:p>
          <w:p>
            <w:pPr/>
            <w:hyperlink r:id="rId8" w:history="1">
              <w:r>
                <w:rPr>
                  <w:color w:val="#410a8c"/>
                  <w:u w:val="single"/>
                </w:rPr>
                <w:t xml:space="preserve">Carine Laurent-Boutot</w:t>
              </w:r>
            </w:hyperlink>
          </w:p>
          <w:p>
            <w:pPr/>
            <w:r>
              <w:rPr/>
              <w:t xml:space="preserve">Pierre Serrand ; Pietr Szwedo. </w:t>
            </w:r>
            <w:r>
              <w:rPr>
                <w:i w:val="1"/>
                <w:iCs w:val="1"/>
              </w:rPr>
              <w:t xml:space="preserve">L'injusticiabilité : émergence d'une notion ? Études publiées en hommage au Professeur Jacques Leroy</w:t>
            </w:r>
            <w:r>
              <w:rPr/>
              <w:t xml:space="preserve">, Biblioteka Jagiellońska, 2018, 978-83-949716-0-1</w:t>
            </w:r>
          </w:p>
          <w:p>
            <w:pPr/>
            <w:r>
              <w:rPr/>
              <w:t xml:space="preserve">Chapitre d'ouvrage</w:t>
            </w:r>
          </w:p>
          <w:p>
            <w:pPr/>
            <w:hyperlink r:id="rId39" w:history="1">
              <w:r>
                <w:rPr>
                  <w:color w:val="#410a8c"/>
                  <w:u w:val="single"/>
                </w:rPr>
                <w:t xml:space="preserve">hal-03609748v1</w:t>
              </w:r>
            </w:hyperlink>
          </w:p>
        </w:tc>
      </w:tr>
      <w:tr>
        <w:trPr/>
        <w:tc>
          <w:tcPr>
            <w:noWrap/>
          </w:tcPr>
          <w:p>
            <w:pPr>
              <w:spacing w:after="200"/>
            </w:pPr>
            <w:hyperlink r:id="rId40" w:history="1">
              <w:r>
                <w:rPr>
                  <w:color w:val="1e198e"/>
                  <w:b w:val="1"/>
                  <w:bCs w:val="1"/>
                  <w:u w:val="single"/>
                </w:rPr>
                <w:t xml:space="preserve">Réflexions autour des principes directeurs de l’article préliminaire du Code de procédure pénale</w:t>
              </w:r>
            </w:hyperlink>
          </w:p>
          <w:p>
            <w:pPr/>
            <w:hyperlink r:id="rId8" w:history="1">
              <w:r>
                <w:rPr>
                  <w:color w:val="#410a8c"/>
                  <w:u w:val="single"/>
                </w:rPr>
                <w:t xml:space="preserve">Carine Laurent-Boutot</w:t>
              </w:r>
            </w:hyperlink>
          </w:p>
          <w:p>
            <w:pPr/>
            <w:r>
              <w:rPr/>
              <w:t xml:space="preserve">Dir. Jacques Leroy. </w:t>
            </w:r>
            <w:r>
              <w:rPr>
                <w:i w:val="1"/>
                <w:iCs w:val="1"/>
              </w:rPr>
              <w:t xml:space="preserve">Faut-il rethéoriser le droit pénal ?</w:t>
            </w:r>
            <w:r>
              <w:rPr/>
              <w:t xml:space="preserve">, LexisNexis, 2017, 9 782 7110 2682 1</w:t>
            </w:r>
          </w:p>
          <w:p>
            <w:pPr/>
            <w:r>
              <w:rPr/>
              <w:t xml:space="preserve">Chapitre d'ouvrage</w:t>
            </w:r>
          </w:p>
          <w:p>
            <w:pPr/>
            <w:hyperlink r:id="rId40" w:history="1">
              <w:r>
                <w:rPr>
                  <w:color w:val="#410a8c"/>
                  <w:u w:val="single"/>
                </w:rPr>
                <w:t xml:space="preserve">hal-03610226v1</w:t>
              </w:r>
            </w:hyperlink>
          </w:p>
        </w:tc>
      </w:tr>
      <w:tr>
        <w:trPr/>
        <w:tc>
          <w:tcPr>
            <w:noWrap/>
          </w:tcPr>
          <w:p>
            <w:pPr>
              <w:spacing w:after="200"/>
            </w:pPr>
            <w:hyperlink r:id="rId41" w:history="1">
              <w:r>
                <w:rPr>
                  <w:color w:val="1e198e"/>
                  <w:b w:val="1"/>
                  <w:bCs w:val="1"/>
                  <w:u w:val="single"/>
                </w:rPr>
                <w:t xml:space="preserve">Le rôle de l’État dans la garantie de la liberté religieuse entre personnes privées : l’approche de la Cour européenne des droits de l’homme</w:t>
              </w:r>
            </w:hyperlink>
          </w:p>
          <w:p>
            <w:pPr/>
            <w:hyperlink r:id="rId8" w:history="1">
              <w:r>
                <w:rPr>
                  <w:color w:val="#410a8c"/>
                  <w:u w:val="single"/>
                </w:rPr>
                <w:t xml:space="preserve">Carine Laurent-Boutot</w:t>
              </w:r>
            </w:hyperlink>
          </w:p>
          <w:p>
            <w:pPr/>
            <w:r>
              <w:rPr/>
              <w:t xml:space="preserve">Giraudeau, Géraldine; Guérin-Bargues, Cécile; Haupais, Nicolas. </w:t>
            </w:r>
            <w:r>
              <w:rPr>
                <w:i w:val="1"/>
                <w:iCs w:val="1"/>
              </w:rPr>
              <w:t xml:space="preserve">Le fait religieux dans la construction de l'État : actes du colloque de l'Université d'Orléans, 17-18 juin 2014</w:t>
            </w:r>
            <w:r>
              <w:rPr/>
              <w:t xml:space="preserve">, Editions A. Pedone, pp.211-[234], 2016, 978-2-233-00787-2</w:t>
            </w:r>
          </w:p>
          <w:p>
            <w:pPr/>
            <w:r>
              <w:rPr/>
              <w:t xml:space="preserve">Chapitre d'ouvrage</w:t>
            </w:r>
          </w:p>
          <w:p>
            <w:pPr/>
            <w:hyperlink r:id="rId41" w:history="1">
              <w:r>
                <w:rPr>
                  <w:color w:val="#410a8c"/>
                  <w:u w:val="single"/>
                </w:rPr>
                <w:t xml:space="preserve">hal-02964768v1</w:t>
              </w:r>
            </w:hyperlink>
          </w:p>
        </w:tc>
      </w:tr>
      <w:tr>
        <w:trPr/>
        <w:tc>
          <w:tcPr>
            <w:noWrap/>
          </w:tcPr>
          <w:p>
            <w:pPr>
              <w:spacing w:after="200"/>
            </w:pPr>
            <w:hyperlink r:id="rId42" w:history="1">
              <w:r>
                <w:rPr>
                  <w:color w:val="1e198e"/>
                  <w:b w:val="1"/>
                  <w:bCs w:val="1"/>
                  <w:u w:val="single"/>
                </w:rPr>
                <w:t xml:space="preserve">Le rôle du juge de droit commun dans l’application du droit externe : la composition des ordres juridiques</w:t>
              </w:r>
            </w:hyperlink>
          </w:p>
          <w:p>
            <w:pPr/>
            <w:hyperlink r:id="rId43" w:history="1">
              <w:r>
                <w:rPr>
                  <w:color w:val="#410a8c"/>
                  <w:u w:val="single"/>
                </w:rPr>
                <w:t xml:space="preserve">Olivier Dubos</w:t>
              </w:r>
            </w:hyperlink>
            <w:r>
              <w:rPr/>
              <w:t xml:space="preserve">,</w:t>
            </w:r>
            <w:hyperlink r:id="rId8" w:history="1">
              <w:r>
                <w:rPr>
                  <w:color w:val="#410a8c"/>
                  <w:u w:val="single"/>
                </w:rPr>
                <w:t xml:space="preserve">Carine Laurent-Boutot</w:t>
              </w:r>
            </w:hyperlink>
          </w:p>
          <w:p>
            <w:pPr/>
            <w:r>
              <w:rPr/>
              <w:t xml:space="preserve">Dir. Baptiste Bonnet. </w:t>
            </w:r>
            <w:r>
              <w:rPr>
                <w:i w:val="1"/>
                <w:iCs w:val="1"/>
              </w:rPr>
              <w:t xml:space="preserve">Traité des rapports entre ordres juridiques</w:t>
            </w:r>
            <w:r>
              <w:rPr/>
              <w:t xml:space="preserve">, Lextenso, 2016, 978-2-275-04042-4</w:t>
            </w:r>
          </w:p>
          <w:p>
            <w:pPr/>
            <w:r>
              <w:rPr/>
              <w:t xml:space="preserve">Chapitre d'ouvrage</w:t>
            </w:r>
          </w:p>
          <w:p>
            <w:pPr/>
            <w:hyperlink r:id="rId42" w:history="1">
              <w:r>
                <w:rPr>
                  <w:color w:val="#410a8c"/>
                  <w:u w:val="single"/>
                </w:rPr>
                <w:t xml:space="preserve">hal-03610221v1</w:t>
              </w:r>
            </w:hyperlink>
          </w:p>
        </w:tc>
      </w:tr>
      <w:tr>
        <w:trPr/>
        <w:tc>
          <w:tcPr>
            <w:noWrap/>
          </w:tcPr>
          <w:p>
            <w:pPr>
              <w:spacing w:after="200"/>
            </w:pPr>
            <w:hyperlink r:id="rId44" w:history="1">
              <w:r>
                <w:rPr>
                  <w:color w:val="1e198e"/>
                  <w:b w:val="1"/>
                  <w:bCs w:val="1"/>
                  <w:u w:val="single"/>
                </w:rPr>
                <w:t xml:space="preserve">La circulation normative : un vecteur de la densification normative des droits de l’Homme. L’exemple du droit au respect de la vie privée et familiale dans la jurisprudence de la Cour européenne des droits de l’Homme</w:t>
              </w:r>
            </w:hyperlink>
          </w:p>
          <w:p>
            <w:pPr/>
            <w:hyperlink r:id="rId8" w:history="1">
              <w:r>
                <w:rPr>
                  <w:color w:val="#410a8c"/>
                  <w:u w:val="single"/>
                </w:rPr>
                <w:t xml:space="preserve">Carine Laurent-Boutot</w:t>
              </w:r>
            </w:hyperlink>
          </w:p>
          <w:p>
            <w:pPr/>
            <w:r>
              <w:rPr/>
              <w:t xml:space="preserve">Thibierge, Catherine. </w:t>
            </w:r>
            <w:r>
              <w:rPr>
                <w:i w:val="1"/>
                <w:iCs w:val="1"/>
              </w:rPr>
              <w:t xml:space="preserve">La force normative : naissance d'un concept</w:t>
            </w:r>
            <w:r>
              <w:rPr/>
              <w:t xml:space="preserve">, Mare &amp; Martin, 2013, 978-2-275-03401-0</w:t>
            </w:r>
          </w:p>
          <w:p>
            <w:pPr/>
            <w:r>
              <w:rPr/>
              <w:t xml:space="preserve">Chapitre d'ouvrage</w:t>
            </w:r>
          </w:p>
          <w:p>
            <w:pPr/>
            <w:hyperlink r:id="rId44" w:history="1">
              <w:r>
                <w:rPr>
                  <w:color w:val="#410a8c"/>
                  <w:u w:val="single"/>
                </w:rPr>
                <w:t xml:space="preserve">hal-02964180v1</w:t>
              </w:r>
            </w:hyperlink>
          </w:p>
        </w:tc>
      </w:tr>
      <w:tr>
        <w:trPr/>
        <w:tc>
          <w:tcPr>
            <w:noWrap/>
          </w:tcPr>
          <w:p>
            <w:pPr>
              <w:spacing w:after="200"/>
            </w:pPr>
            <w:hyperlink r:id="rId45" w:history="1">
              <w:r>
                <w:rPr>
                  <w:color w:val="1e198e"/>
                  <w:b w:val="1"/>
                  <w:bCs w:val="1"/>
                  <w:u w:val="single"/>
                </w:rPr>
                <w:t xml:space="preserve">Les interactions entre la Cour européenne des droits de l’Homme et la Cour de cassation française : de la transposition des précédents à l’enrichissement des interprétations</w:t>
              </w:r>
            </w:hyperlink>
          </w:p>
          <w:p>
            <w:pPr/>
            <w:hyperlink r:id="rId8" w:history="1">
              <w:r>
                <w:rPr>
                  <w:color w:val="#410a8c"/>
                  <w:u w:val="single"/>
                </w:rPr>
                <w:t xml:space="preserve">Carine Laurent-Boutot</w:t>
              </w:r>
            </w:hyperlink>
          </w:p>
          <w:p>
            <w:pPr/>
            <w:r>
              <w:rPr>
                <w:i w:val="1"/>
                <w:iCs w:val="1"/>
              </w:rPr>
              <w:t xml:space="preserve">Journées juridiques franco-polonaises : le jeu des influences croisées du droit français, du droit européen et du droit des autres pays européens</w:t>
            </w:r>
            <w:r>
              <w:rPr/>
              <w:t xml:space="preserve">, Mare &amp; Martin, 2013, 978-2-84934-110-0</w:t>
            </w:r>
          </w:p>
          <w:p>
            <w:pPr/>
            <w:r>
              <w:rPr/>
              <w:t xml:space="preserve">Chapitre d'ouvrage</w:t>
            </w:r>
          </w:p>
          <w:p>
            <w:pPr/>
            <w:hyperlink r:id="rId45" w:history="1">
              <w:r>
                <w:rPr>
                  <w:color w:val="#410a8c"/>
                  <w:u w:val="single"/>
                </w:rPr>
                <w:t xml:space="preserve">hal-02964740v1</w:t>
              </w:r>
            </w:hyperlink>
          </w:p>
        </w:tc>
      </w:tr>
      <w:tr>
        <w:trPr/>
        <w:tc>
          <w:tcPr>
            <w:noWrap/>
          </w:tcPr>
          <w:p>
            <w:pPr>
              <w:spacing w:after="200"/>
            </w:pPr>
            <w:hyperlink r:id="rId46" w:history="1">
              <w:r>
                <w:rPr>
                  <w:color w:val="1e198e"/>
                  <w:b w:val="1"/>
                  <w:bCs w:val="1"/>
                  <w:u w:val="single"/>
                </w:rPr>
                <w:t xml:space="preserve">Une vision nouvelle de la vie familiale en Europe, in La Charte des droits fondamentaux de l’Union européenne après le traité de Lisbonne</w:t>
              </w:r>
            </w:hyperlink>
          </w:p>
          <w:p>
            <w:pPr/>
            <w:hyperlink r:id="rId8" w:history="1">
              <w:r>
                <w:rPr>
                  <w:color w:val="#410a8c"/>
                  <w:u w:val="single"/>
                </w:rPr>
                <w:t xml:space="preserve">Carine Laurent-Boutot</w:t>
              </w:r>
            </w:hyperlink>
          </w:p>
          <w:p>
            <w:pPr/>
            <w:r>
              <w:rPr/>
              <w:t xml:space="preserve">(dir.) Bertrand Favreau. </w:t>
            </w:r>
            <w:r>
              <w:rPr>
                <w:i w:val="1"/>
                <w:iCs w:val="1"/>
              </w:rPr>
              <w:t xml:space="preserve">La Charte des droits fondamentaux de l'Union européenne après le traité de Lisbonne</w:t>
            </w:r>
            <w:r>
              <w:rPr/>
              <w:t xml:space="preserve">, Bruylant, 2010, 978-2-8027-2864-1</w:t>
            </w:r>
          </w:p>
          <w:p>
            <w:pPr/>
            <w:r>
              <w:rPr/>
              <w:t xml:space="preserve">Chapitre d'ouvrage</w:t>
            </w:r>
          </w:p>
          <w:p>
            <w:pPr/>
            <w:hyperlink r:id="rId46" w:history="1">
              <w:r>
                <w:rPr>
                  <w:color w:val="#410a8c"/>
                  <w:u w:val="single"/>
                </w:rPr>
                <w:t xml:space="preserve">hal-03610203v1</w:t>
              </w:r>
            </w:hyperlink>
          </w:p>
        </w:tc>
      </w:tr>
      <w:tr>
        <w:trPr/>
        <w:tc>
          <w:tcPr>
            <w:noWrap/>
          </w:tcPr>
          <w:p>
            <w:pPr>
              <w:spacing w:after="200"/>
            </w:pPr>
            <w:hyperlink r:id="rId47" w:history="1">
              <w:r>
                <w:rPr>
                  <w:color w:val="1e198e"/>
                  <w:b w:val="1"/>
                  <w:bCs w:val="1"/>
                  <w:u w:val="single"/>
                </w:rPr>
                <w:t xml:space="preserve">Droit de la guerre et droits de l’enfant</w:t>
              </w:r>
            </w:hyperlink>
          </w:p>
          <w:p>
            <w:pPr/>
            <w:hyperlink r:id="rId8" w:history="1">
              <w:r>
                <w:rPr>
                  <w:color w:val="#410a8c"/>
                  <w:u w:val="single"/>
                </w:rPr>
                <w:t xml:space="preserve">Carine Laurent-Boutot</w:t>
              </w:r>
            </w:hyperlink>
          </w:p>
          <w:p>
            <w:pPr/>
            <w:r>
              <w:rPr/>
              <w:t xml:space="preserve">Dir. Jean-Pierre Marguénaud ; Hélène Pauliat. </w:t>
            </w:r>
            <w:r>
              <w:rPr>
                <w:i w:val="1"/>
                <w:iCs w:val="1"/>
              </w:rPr>
              <w:t xml:space="preserve">Les droits de l’Homme face à la guerre : d’Oradour à Srebrenitsa</w:t>
            </w:r>
            <w:r>
              <w:rPr/>
              <w:t xml:space="preserve">, Dalloz, 2009, 978-2-247-08376-3678086</w:t>
            </w:r>
          </w:p>
          <w:p>
            <w:pPr/>
            <w:r>
              <w:rPr/>
              <w:t xml:space="preserve">Chapitre d'ouvrage</w:t>
            </w:r>
          </w:p>
          <w:p>
            <w:pPr/>
            <w:hyperlink r:id="rId47" w:history="1">
              <w:r>
                <w:rPr>
                  <w:color w:val="#410a8c"/>
                  <w:u w:val="single"/>
                </w:rPr>
                <w:t xml:space="preserve">hal-03610262v1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Correspondance</w:t>
              </w:r>
            </w:hyperlink>
          </w:p>
          <w:p>
            <w:pPr/>
            <w:hyperlink r:id="rId49" w:history="1">
              <w:r>
                <w:rPr>
                  <w:color w:val="#410a8c"/>
                  <w:u w:val="single"/>
                </w:rPr>
                <w:t xml:space="preserve">Sandrine Turgis</w:t>
              </w:r>
            </w:hyperlink>
            <w:r>
              <w:rPr/>
              <w:t xml:space="preserve">,</w:t>
            </w:r>
            <w:hyperlink r:id="rId8" w:history="1">
              <w:r>
                <w:rPr>
                  <w:color w:val="#410a8c"/>
                  <w:u w:val="single"/>
                </w:rPr>
                <w:t xml:space="preserve">Carine Laurent-Boutot</w:t>
              </w:r>
            </w:hyperlink>
            <w:r>
              <w:rPr/>
              <w:t xml:space="preserve">,</w:t>
            </w:r>
            <w:hyperlink r:id="rId28" w:history="1">
              <w:r>
                <w:rPr>
                  <w:color w:val="#410a8c"/>
                  <w:u w:val="single"/>
                </w:rPr>
                <w:t xml:space="preserve">Yannick Lécuyer</w:t>
              </w:r>
            </w:hyperlink>
            <w:r>
              <w:rPr/>
              <w:t xml:space="preserve">,</w:t>
            </w:r>
            <w:hyperlink r:id="rId24" w:history="1">
              <w:r>
                <w:rPr>
                  <w:color w:val="#410a8c"/>
                  <w:u w:val="single"/>
                </w:rPr>
                <w:t xml:space="preserve">Delphine Tharaud</w:t>
              </w:r>
            </w:hyperlink>
          </w:p>
          <w:p>
            <w:pPr/>
            <w:r>
              <w:rPr>
                <w:i w:val="1"/>
                <w:iCs w:val="1"/>
              </w:rPr>
              <w:t xml:space="preserve">Dictionnaire thématique de la Convention européenne des droits de l'homme</w:t>
            </w:r>
            <w:r>
              <w:rPr/>
              <w:t xml:space="preserve">, 2022, p. 76-78</w:t>
            </w:r>
          </w:p>
          <w:p>
            <w:pPr/>
            <w:r>
              <w:rPr/>
              <w:t xml:space="preserve">Notice d’encyclopédie ou de dictionnaire</w:t>
            </w:r>
          </w:p>
          <w:p>
            <w:pPr/>
            <w:hyperlink r:id="rId48" w:history="1">
              <w:r>
                <w:rPr>
                  <w:color w:val="#410a8c"/>
                  <w:u w:val="single"/>
                </w:rPr>
                <w:t xml:space="preserve">hal-04721300v1</w:t>
              </w:r>
            </w:hyperlink>
          </w:p>
        </w:tc>
      </w:tr>
      <w:tr>
        <w:trPr/>
        <w:tc>
          <w:tcPr>
            <w:noWrap/>
          </w:tcPr>
          <w:p>
            <w:pPr>
              <w:spacing w:after="200"/>
            </w:pPr>
            <w:hyperlink r:id="rId50" w:history="1">
              <w:r>
                <w:rPr>
                  <w:color w:val="1e198e"/>
                  <w:b w:val="1"/>
                  <w:bCs w:val="1"/>
                  <w:u w:val="single"/>
                </w:rPr>
                <w:t xml:space="preserve">Surveillance</w:t>
              </w:r>
            </w:hyperlink>
          </w:p>
          <w:p>
            <w:pPr/>
            <w:hyperlink r:id="rId51" w:history="1">
              <w:r>
                <w:rPr>
                  <w:color w:val="#410a8c"/>
                  <w:u w:val="single"/>
                </w:rPr>
                <w:t xml:space="preserve">Laure Laref</w:t>
              </w:r>
            </w:hyperlink>
            <w:r>
              <w:rPr/>
              <w:t xml:space="preserve">,</w:t>
            </w:r>
            <w:hyperlink r:id="rId24" w:history="1">
              <w:r>
                <w:rPr>
                  <w:color w:val="#410a8c"/>
                  <w:u w:val="single"/>
                </w:rPr>
                <w:t xml:space="preserve">Delphine Tharaud</w:t>
              </w:r>
            </w:hyperlink>
            <w:r>
              <w:rPr/>
              <w:t xml:space="preserve">,</w:t>
            </w:r>
            <w:hyperlink r:id="rId28" w:history="1">
              <w:r>
                <w:rPr>
                  <w:color w:val="#410a8c"/>
                  <w:u w:val="single"/>
                </w:rPr>
                <w:t xml:space="preserve">Yannick Lécuyer</w:t>
              </w:r>
            </w:hyperlink>
            <w:r>
              <w:rPr/>
              <w:t xml:space="preserve">,</w:t>
            </w:r>
            <w:hyperlink r:id="rId8" w:history="1">
              <w:r>
                <w:rPr>
                  <w:color w:val="#410a8c"/>
                  <w:u w:val="single"/>
                </w:rPr>
                <w:t xml:space="preserve">Carine Laurent-Boutot</w:t>
              </w:r>
            </w:hyperlink>
          </w:p>
          <w:p>
            <w:pPr/>
            <w:r>
              <w:rPr>
                <w:i w:val="1"/>
                <w:iCs w:val="1"/>
              </w:rPr>
              <w:t xml:space="preserve">Dictionnaire thématique de la Convention européenne des droits de l'homme</w:t>
            </w:r>
            <w:r>
              <w:rPr/>
              <w:t xml:space="preserve">, 2022</w:t>
            </w:r>
          </w:p>
          <w:p>
            <w:pPr/>
            <w:r>
              <w:rPr/>
              <w:t xml:space="preserve">Notice d’encyclopédie ou de dictionnaire</w:t>
            </w:r>
          </w:p>
          <w:p>
            <w:pPr/>
            <w:hyperlink r:id="rId50" w:history="1">
              <w:r>
                <w:rPr>
                  <w:color w:val="#410a8c"/>
                  <w:u w:val="single"/>
                </w:rPr>
                <w:t xml:space="preserve">hal-04356031v1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Fiches sur la Convention européenne des droits de l'Homme</w:t>
              </w:r>
            </w:hyperlink>
          </w:p>
          <w:p>
            <w:pPr/>
            <w:hyperlink r:id="rId8" w:history="1">
              <w:r>
                <w:rPr>
                  <w:color w:val="#410a8c"/>
                  <w:u w:val="single"/>
                </w:rPr>
                <w:t xml:space="preserve">Carine Laurent-Boutot</w:t>
              </w:r>
            </w:hyperlink>
          </w:p>
          <w:p>
            <w:pPr/>
            <w:r>
              <w:rPr/>
              <w:t xml:space="preserve">Ellipses, 2019, 9782340-029804</w:t>
            </w:r>
          </w:p>
          <w:p>
            <w:pPr/>
            <w:r>
              <w:rPr/>
              <w:t xml:space="preserve">Ouvrages</w:t>
            </w:r>
          </w:p>
          <w:p>
            <w:pPr/>
            <w:hyperlink r:id="rId52" w:history="1">
              <w:r>
                <w:rPr>
                  <w:color w:val="#410a8c"/>
                  <w:u w:val="single"/>
                </w:rPr>
                <w:t xml:space="preserve">hal-03609732v1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procréation : science et droit face au désir d'enfant. Le point de vue du juriste.</w:t>
              </w:r>
            </w:hyperlink>
          </w:p>
          <w:p>
            <w:pPr/>
            <w:hyperlink r:id="rId8" w:history="1">
              <w:r>
                <w:rPr>
                  <w:color w:val="#410a8c"/>
                  <w:u w:val="single"/>
                </w:rPr>
                <w:t xml:space="preserve">Carine Laurent-Boutot</w:t>
              </w:r>
            </w:hyperlink>
          </w:p>
          <w:p>
            <w:pPr/>
            <w:r>
              <w:rPr>
                <w:i w:val="1"/>
                <w:iCs w:val="1"/>
              </w:rPr>
              <w:t xml:space="preserve">La procréation dans tous ses États : sciences et droit face au désir d'enfant</w:t>
            </w:r>
            <w:r>
              <w:rPr/>
              <w:t xml:space="preserve">, Sciences et conscience, 2019, Orléans, France</w:t>
            </w:r>
          </w:p>
          <w:p>
            <w:pPr/>
            <w:r>
              <w:rPr/>
              <w:t xml:space="preserve">Communication dans un congrès</w:t>
            </w:r>
          </w:p>
          <w:p>
            <w:pPr/>
            <w:hyperlink r:id="rId53" w:history="1">
              <w:r>
                <w:rPr>
                  <w:color w:val="#410a8c"/>
                  <w:u w:val="single"/>
                </w:rPr>
                <w:t xml:space="preserve">hal-03610674v1</w:t>
              </w:r>
            </w:hyperlink>
          </w:p>
        </w:tc>
      </w:tr>
      <w:tr>
        <w:trPr/>
        <w:tc>
          <w:tcPr>
            <w:noWrap/>
          </w:tcPr>
          <w:p>
            <w:pPr>
              <w:spacing w:after="200"/>
            </w:pPr>
            <w:hyperlink r:id="rId54" w:history="1">
              <w:r>
                <w:rPr>
                  <w:color w:val="1e198e"/>
                  <w:b w:val="1"/>
                  <w:bCs w:val="1"/>
                  <w:u w:val="single"/>
                </w:rPr>
                <w:t xml:space="preserve">Les conflits d’intérêts sous l’angle de la Convention européenne des droits de l’homme</w:t>
              </w:r>
            </w:hyperlink>
          </w:p>
          <w:p>
            <w:pPr/>
            <w:hyperlink r:id="rId8" w:history="1">
              <w:r>
                <w:rPr>
                  <w:color w:val="#410a8c"/>
                  <w:u w:val="single"/>
                </w:rPr>
                <w:t xml:space="preserve">Carine Laurent-Boutot</w:t>
              </w:r>
            </w:hyperlink>
          </w:p>
          <w:p>
            <w:pPr/>
            <w:r>
              <w:rPr>
                <w:i w:val="1"/>
                <w:iCs w:val="1"/>
              </w:rPr>
              <w:t xml:space="preserve">La Notion d'intérêt(s) en droit</w:t>
            </w:r>
            <w:r>
              <w:rPr/>
              <w:t xml:space="preserve">, Centre de recherche juridiques Pothier EA1212, Oct 2017, Orléans, France</w:t>
            </w:r>
          </w:p>
          <w:p>
            <w:pPr/>
            <w:r>
              <w:rPr/>
              <w:t xml:space="preserve">Communication dans un congrès</w:t>
            </w:r>
          </w:p>
          <w:p>
            <w:pPr/>
            <w:hyperlink r:id="rId54" w:history="1">
              <w:r>
                <w:rPr>
                  <w:color w:val="#410a8c"/>
                  <w:u w:val="single"/>
                </w:rPr>
                <w:t xml:space="preserve">hal-03610763v1</w:t>
              </w:r>
            </w:hyperlink>
          </w:p>
        </w:tc>
      </w:tr>
      <w:tr>
        <w:trPr/>
        <w:tc>
          <w:tcPr>
            <w:noWrap/>
          </w:tcPr>
          <w:p>
            <w:pPr>
              <w:spacing w:after="200"/>
            </w:pPr>
            <w:hyperlink r:id="rId55" w:history="1">
              <w:r>
                <w:rPr>
                  <w:color w:val="1e198e"/>
                  <w:b w:val="1"/>
                  <w:bCs w:val="1"/>
                  <w:u w:val="single"/>
                </w:rPr>
                <w:t xml:space="preserve">La liberté d’expression dans la jurisprudence de la Cour européenne des droits de l’homme : un droit aux multiples facettes</w:t>
              </w:r>
            </w:hyperlink>
          </w:p>
          <w:p>
            <w:pPr/>
            <w:hyperlink r:id="rId8" w:history="1">
              <w:r>
                <w:rPr>
                  <w:color w:val="#410a8c"/>
                  <w:u w:val="single"/>
                </w:rPr>
                <w:t xml:space="preserve">Carine Laurent-Boutot</w:t>
              </w:r>
            </w:hyperlink>
          </w:p>
          <w:p>
            <w:pPr/>
            <w:r>
              <w:rPr>
                <w:i w:val="1"/>
                <w:iCs w:val="1"/>
              </w:rPr>
              <w:t xml:space="preserve">Conférence pour Amnesty international</w:t>
            </w:r>
            <w:r>
              <w:rPr/>
              <w:t xml:space="preserve">, Jan 2016, Tulle, France</w:t>
            </w:r>
          </w:p>
          <w:p>
            <w:pPr/>
            <w:r>
              <w:rPr/>
              <w:t xml:space="preserve">Communication dans un congrès</w:t>
            </w:r>
          </w:p>
          <w:p>
            <w:pPr/>
            <w:hyperlink r:id="rId55" w:history="1">
              <w:r>
                <w:rPr>
                  <w:color w:val="#410a8c"/>
                  <w:u w:val="single"/>
                </w:rPr>
                <w:t xml:space="preserve">hal-02964201v1</w:t>
              </w:r>
            </w:hyperlink>
          </w:p>
        </w:tc>
      </w:tr>
      <w:tr>
        <w:trPr/>
        <w:tc>
          <w:tcPr>
            <w:noWrap/>
          </w:tcPr>
          <w:p>
            <w:pPr>
              <w:spacing w:after="200"/>
            </w:pPr>
            <w:hyperlink r:id="rId56" w:history="1">
              <w:r>
                <w:rPr>
                  <w:color w:val="1e198e"/>
                  <w:b w:val="1"/>
                  <w:bCs w:val="1"/>
                  <w:u w:val="single"/>
                </w:rPr>
                <w:t xml:space="preserve">La Cour européenne des droits de l’Homme garante des droits fondamentaux des enfants nés d’une gestation pour autrui</w:t>
              </w:r>
            </w:hyperlink>
          </w:p>
          <w:p>
            <w:pPr/>
            <w:hyperlink r:id="rId8" w:history="1">
              <w:r>
                <w:rPr>
                  <w:color w:val="#410a8c"/>
                  <w:u w:val="single"/>
                </w:rPr>
                <w:t xml:space="preserve">Carine Laurent-Boutot</w:t>
              </w:r>
            </w:hyperlink>
          </w:p>
          <w:p>
            <w:pPr/>
            <w:r>
              <w:rPr>
                <w:i w:val="1"/>
                <w:iCs w:val="1"/>
              </w:rPr>
              <w:t xml:space="preserve">La gestation pour autrui : les réponses du droit</w:t>
            </w:r>
            <w:r>
              <w:rPr/>
              <w:t xml:space="preserve">, Antenne de Bourges - Collegium droit, économie, gestion - Université d'Orléans, Nov 2014, Bourges, France</w:t>
            </w:r>
          </w:p>
          <w:p>
            <w:pPr/>
            <w:r>
              <w:rPr/>
              <w:t xml:space="preserve">Communication dans un congrès</w:t>
            </w:r>
          </w:p>
          <w:p>
            <w:pPr/>
            <w:hyperlink r:id="rId56" w:history="1">
              <w:r>
                <w:rPr>
                  <w:color w:val="#410a8c"/>
                  <w:u w:val="single"/>
                </w:rPr>
                <w:t xml:space="preserve">hal-02964795v1</w:t>
              </w:r>
            </w:hyperlink>
          </w:p>
        </w:tc>
      </w:tr>
      <w:tr>
        <w:trPr/>
        <w:tc>
          <w:tcPr>
            <w:noWrap/>
          </w:tcPr>
          <w:p>
            <w:pPr>
              <w:spacing w:after="200"/>
            </w:pPr>
            <w:hyperlink r:id="rId57" w:history="1">
              <w:r>
                <w:rPr>
                  <w:color w:val="1e198e"/>
                  <w:b w:val="1"/>
                  <w:bCs w:val="1"/>
                  <w:u w:val="single"/>
                </w:rPr>
                <w:t xml:space="preserve">La conception : vers le droit de devenir parents biologiques ?</w:t>
              </w:r>
            </w:hyperlink>
          </w:p>
          <w:p>
            <w:pPr/>
            <w:hyperlink r:id="rId8" w:history="1">
              <w:r>
                <w:rPr>
                  <w:color w:val="#410a8c"/>
                  <w:u w:val="single"/>
                </w:rPr>
                <w:t xml:space="preserve">Carine Laurent-Boutot</w:t>
              </w:r>
            </w:hyperlink>
          </w:p>
          <w:p>
            <w:pPr/>
            <w:r>
              <w:rPr>
                <w:i w:val="1"/>
                <w:iCs w:val="1"/>
              </w:rPr>
              <w:t xml:space="preserve">Les droits fondamentaux aux frontières de la vie</w:t>
            </w:r>
            <w:r>
              <w:rPr/>
              <w:t xml:space="preserve">, Centre universitaire d’études juridiques de Bourges, Apr 2013, Bourges, France</w:t>
            </w:r>
          </w:p>
          <w:p>
            <w:pPr/>
            <w:r>
              <w:rPr/>
              <w:t xml:space="preserve">Communication dans un congrès</w:t>
            </w:r>
          </w:p>
          <w:p>
            <w:pPr/>
            <w:hyperlink r:id="rId57" w:history="1">
              <w:r>
                <w:rPr>
                  <w:color w:val="#410a8c"/>
                  <w:u w:val="single"/>
                </w:rPr>
                <w:t xml:space="preserve">hal-02964826v1</w:t>
              </w:r>
            </w:hyperlink>
          </w:p>
        </w:tc>
      </w:tr>
      <w:tr>
        <w:trPr/>
        <w:tc>
          <w:tcPr>
            <w:noWrap/>
          </w:tcPr>
          <w:p>
            <w:pPr>
              <w:spacing w:after="200"/>
            </w:pPr>
            <w:hyperlink r:id="rId58" w:history="1">
              <w:r>
                <w:rPr>
                  <w:color w:val="1e198e"/>
                  <w:b w:val="1"/>
                  <w:bCs w:val="1"/>
                  <w:u w:val="single"/>
                </w:rPr>
                <w:t xml:space="preserve">Temps de travail et vie personnelle : aspects européens</w:t>
              </w:r>
            </w:hyperlink>
          </w:p>
          <w:p>
            <w:pPr/>
            <w:hyperlink r:id="rId8" w:history="1">
              <w:r>
                <w:rPr>
                  <w:color w:val="#410a8c"/>
                  <w:u w:val="single"/>
                </w:rPr>
                <w:t xml:space="preserve">Carine Laurent-Boutot</w:t>
              </w:r>
            </w:hyperlink>
          </w:p>
          <w:p>
            <w:pPr/>
            <w:r>
              <w:rPr>
                <w:i w:val="1"/>
                <w:iCs w:val="1"/>
              </w:rPr>
              <w:t xml:space="preserve">Le temps de travail : regards croisés</w:t>
            </w:r>
            <w:r>
              <w:rPr/>
              <w:t xml:space="preserve">, Centre universitaire d’études juridiques de Bourges, Mar 2012, Bourges, France</w:t>
            </w:r>
          </w:p>
          <w:p>
            <w:pPr/>
            <w:r>
              <w:rPr/>
              <w:t xml:space="preserve">Communication dans un congrès</w:t>
            </w:r>
          </w:p>
          <w:p>
            <w:pPr/>
            <w:hyperlink r:id="rId58" w:history="1">
              <w:r>
                <w:rPr>
                  <w:color w:val="#410a8c"/>
                  <w:u w:val="single"/>
                </w:rPr>
                <w:t xml:space="preserve">hal-02964850v1</w:t>
              </w:r>
            </w:hyperlink>
          </w:p>
        </w:tc>
      </w:tr>
      <w:tr>
        <w:trPr/>
        <w:tc>
          <w:tcPr>
            <w:noWrap/>
          </w:tcPr>
          <w:p>
            <w:pPr>
              <w:spacing w:after="200"/>
            </w:pPr>
            <w:hyperlink r:id="rId59" w:history="1">
              <w:r>
                <w:rPr>
                  <w:color w:val="1e198e"/>
                  <w:b w:val="1"/>
                  <w:bCs w:val="1"/>
                  <w:u w:val="single"/>
                </w:rPr>
                <w:t xml:space="preserve">La vie familiale : un droit en cours d’édification</w:t>
              </w:r>
            </w:hyperlink>
          </w:p>
          <w:p>
            <w:pPr/>
            <w:hyperlink r:id="rId8" w:history="1">
              <w:r>
                <w:rPr>
                  <w:color w:val="#410a8c"/>
                  <w:u w:val="single"/>
                </w:rPr>
                <w:t xml:space="preserve">Carine Laurent-Boutot</w:t>
              </w:r>
            </w:hyperlink>
          </w:p>
          <w:p>
            <w:pPr/>
            <w:r>
              <w:rPr>
                <w:i w:val="1"/>
                <w:iCs w:val="1"/>
              </w:rPr>
              <w:t xml:space="preserve">Homosexualité, homoparentalité : droit à une vie familiale ?</w:t>
            </w:r>
            <w:r>
              <w:rPr/>
              <w:t xml:space="preserve">, Centre universitaire d’études juridiques de Bourges, Mar 2011, Bourges, France</w:t>
            </w:r>
          </w:p>
          <w:p>
            <w:pPr/>
            <w:r>
              <w:rPr/>
              <w:t xml:space="preserve">Communication dans un congrès</w:t>
            </w:r>
          </w:p>
          <w:p>
            <w:pPr/>
            <w:hyperlink r:id="rId59" w:history="1">
              <w:r>
                <w:rPr>
                  <w:color w:val="#410a8c"/>
                  <w:u w:val="single"/>
                </w:rPr>
                <w:t xml:space="preserve">hal-02964857v1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Cour de cassation face aux traités internationaux protecteurs des droits de l'Homme</w:t>
              </w:r>
            </w:hyperlink>
          </w:p>
          <w:p>
            <w:pPr/>
            <w:hyperlink r:id="rId8" w:history="1">
              <w:r>
                <w:rPr>
                  <w:color w:val="#410a8c"/>
                  <w:u w:val="single"/>
                </w:rPr>
                <w:t xml:space="preserve">Carine Laurent-Boutot</w:t>
              </w:r>
            </w:hyperlink>
          </w:p>
          <w:p>
            <w:pPr/>
            <w:r>
              <w:rPr/>
              <w:t xml:space="preserve">Droit. Université de Limoges, 2006.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tel-03610444v1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4308v1" TargetMode="External"/><Relationship Id="rId8" Type="http://schemas.openxmlformats.org/officeDocument/2006/relationships/hyperlink" Target="https://hal.science/search/index/?q=*&amp;authFullName_s=Carine Laurent-Boutot" TargetMode="External"/><Relationship Id="rId9" Type="http://schemas.openxmlformats.org/officeDocument/2006/relationships/hyperlink" Target="https://hal.science/hal-03610554v1" TargetMode="External"/><Relationship Id="rId10" Type="http://schemas.openxmlformats.org/officeDocument/2006/relationships/hyperlink" Target="https://hal.science/hal-03610587v1" TargetMode="External"/><Relationship Id="rId11" Type="http://schemas.openxmlformats.org/officeDocument/2006/relationships/hyperlink" Target="https://univ-orleans.hal.science/hal-02966508v1" TargetMode="External"/><Relationship Id="rId12" Type="http://schemas.openxmlformats.org/officeDocument/2006/relationships/hyperlink" Target="https://univ-orleans.hal.science/hal-02966477v1" TargetMode="External"/><Relationship Id="rId13" Type="http://schemas.openxmlformats.org/officeDocument/2006/relationships/hyperlink" Target="https://univ-orleans.hal.science/hal-02966494v1" TargetMode="External"/><Relationship Id="rId14" Type="http://schemas.openxmlformats.org/officeDocument/2006/relationships/hyperlink" Target="https://hal.science/hal-03610801v1" TargetMode="External"/><Relationship Id="rId15" Type="http://schemas.openxmlformats.org/officeDocument/2006/relationships/hyperlink" Target="https://hal.science/hal-03610812v1" TargetMode="External"/><Relationship Id="rId16" Type="http://schemas.openxmlformats.org/officeDocument/2006/relationships/hyperlink" Target="https://hal.science/hal-03610459v1" TargetMode="External"/><Relationship Id="rId17" Type="http://schemas.openxmlformats.org/officeDocument/2006/relationships/hyperlink" Target="https://hal.science/hal-03610919v1" TargetMode="External"/><Relationship Id="rId18" Type="http://schemas.openxmlformats.org/officeDocument/2006/relationships/hyperlink" Target="https://hal.science/hal-03610925v1" TargetMode="External"/><Relationship Id="rId19" Type="http://schemas.openxmlformats.org/officeDocument/2006/relationships/hyperlink" Target="https://hal.science/hal-03610933v1" TargetMode="External"/><Relationship Id="rId20" Type="http://schemas.openxmlformats.org/officeDocument/2006/relationships/hyperlink" Target="https://hal.science/hal-03610939v1" TargetMode="External"/><Relationship Id="rId21" Type="http://schemas.openxmlformats.org/officeDocument/2006/relationships/hyperlink" Target="https://hal.science/hal-04738652v1" TargetMode="External"/><Relationship Id="rId22" Type="http://schemas.openxmlformats.org/officeDocument/2006/relationships/hyperlink" Target="https://unilim.hal.science/hal-04449385v1" TargetMode="External"/><Relationship Id="rId23" Type="http://schemas.openxmlformats.org/officeDocument/2006/relationships/hyperlink" Target="https://hal.science/hal-04738635v1" TargetMode="External"/><Relationship Id="rId24" Type="http://schemas.openxmlformats.org/officeDocument/2006/relationships/hyperlink" Target="https://hal.science/search/index/?q=*&amp;authFullName_s=Delphine Tharaud" TargetMode="External"/><Relationship Id="rId25" Type="http://schemas.openxmlformats.org/officeDocument/2006/relationships/hyperlink" Target="https://hal.science/hal-04738643v1" TargetMode="External"/><Relationship Id="rId26" Type="http://schemas.openxmlformats.org/officeDocument/2006/relationships/hyperlink" Target="https://hal.science/hal-04131490v1" TargetMode="External"/><Relationship Id="rId27" Type="http://schemas.openxmlformats.org/officeDocument/2006/relationships/hyperlink" Target="https://hal.science/search/index/?q=*&amp;authFullName_s=Xavier Bioy" TargetMode="External"/><Relationship Id="rId28" Type="http://schemas.openxmlformats.org/officeDocument/2006/relationships/hyperlink" Target="https://hal.science/search/index/?q=*&amp;authFullName_s=Yannick L&#233;cuyer" TargetMode="External"/><Relationship Id="rId29" Type="http://schemas.openxmlformats.org/officeDocument/2006/relationships/hyperlink" Target="https://hal.science/hal-03610611v1" TargetMode="External"/><Relationship Id="rId30" Type="http://schemas.openxmlformats.org/officeDocument/2006/relationships/hyperlink" Target="http://pedone.info/site/wp-content/uploads/2022/10/Pr&#233;sentation-Dictionnaire-th&#233;matique-de-la-Conv.EDH_.pdf" TargetMode="External"/><Relationship Id="rId31" Type="http://schemas.openxmlformats.org/officeDocument/2006/relationships/hyperlink" Target="https://univ-orleans.hal.science/hal-03475779v1" TargetMode="External"/><Relationship Id="rId32" Type="http://schemas.openxmlformats.org/officeDocument/2006/relationships/hyperlink" Target="https://hal.science/hal-03609270v1" TargetMode="External"/><Relationship Id="rId33" Type="http://schemas.openxmlformats.org/officeDocument/2006/relationships/hyperlink" Target="https://hal.science/hal-03610428v1" TargetMode="External"/><Relationship Id="rId34" Type="http://schemas.openxmlformats.org/officeDocument/2006/relationships/hyperlink" Target="https://www.editions-harmattan.fr/livre-dictionnaire_juridique_de_l_egalite_et_de_la_non_discrimination_delphine_tharaud_caroline_boyer_capelle-9782343218632-68060.html" TargetMode="External"/><Relationship Id="rId35" Type="http://schemas.openxmlformats.org/officeDocument/2006/relationships/hyperlink" Target="https://hal.science/hal-03609758v1" TargetMode="External"/><Relationship Id="rId36" Type="http://schemas.openxmlformats.org/officeDocument/2006/relationships/hyperlink" Target="https://shs.hal.science/halshs-03240661v1" TargetMode="External"/><Relationship Id="rId37" Type="http://schemas.openxmlformats.org/officeDocument/2006/relationships/hyperlink" Target="https://hal.science/search/index/?q=*&amp;authFullName_s=Diane Roman" TargetMode="External"/><Relationship Id="rId38" Type="http://schemas.openxmlformats.org/officeDocument/2006/relationships/hyperlink" Target="https://hal.science/hal-03609750v1" TargetMode="External"/><Relationship Id="rId39" Type="http://schemas.openxmlformats.org/officeDocument/2006/relationships/hyperlink" Target="https://hal.science/hal-03609748v1" TargetMode="External"/><Relationship Id="rId40" Type="http://schemas.openxmlformats.org/officeDocument/2006/relationships/hyperlink" Target="https://hal.science/hal-03610226v1" TargetMode="External"/><Relationship Id="rId41" Type="http://schemas.openxmlformats.org/officeDocument/2006/relationships/hyperlink" Target="https://univ-orleans.hal.science/hal-02964768v1" TargetMode="External"/><Relationship Id="rId42" Type="http://schemas.openxmlformats.org/officeDocument/2006/relationships/hyperlink" Target="https://hal.science/hal-03610221v1" TargetMode="External"/><Relationship Id="rId43" Type="http://schemas.openxmlformats.org/officeDocument/2006/relationships/hyperlink" Target="https://hal.science/search/index/?q=*&amp;authFullName_s=Olivier Dubos" TargetMode="External"/><Relationship Id="rId44" Type="http://schemas.openxmlformats.org/officeDocument/2006/relationships/hyperlink" Target="https://univ-orleans.hal.science/hal-02964180v1" TargetMode="External"/><Relationship Id="rId45" Type="http://schemas.openxmlformats.org/officeDocument/2006/relationships/hyperlink" Target="https://univ-orleans.hal.science/hal-02964740v1" TargetMode="External"/><Relationship Id="rId46" Type="http://schemas.openxmlformats.org/officeDocument/2006/relationships/hyperlink" Target="https://hal.science/hal-03610203v1" TargetMode="External"/><Relationship Id="rId47" Type="http://schemas.openxmlformats.org/officeDocument/2006/relationships/hyperlink" Target="https://hal.science/hal-03610262v1" TargetMode="External"/><Relationship Id="rId48" Type="http://schemas.openxmlformats.org/officeDocument/2006/relationships/hyperlink" Target="https://hal.science/hal-04721300v1" TargetMode="External"/><Relationship Id="rId49" Type="http://schemas.openxmlformats.org/officeDocument/2006/relationships/hyperlink" Target="https://hal.science/search/index/?q=*&amp;authFullName_s=Sandrine Turgis" TargetMode="External"/><Relationship Id="rId50" Type="http://schemas.openxmlformats.org/officeDocument/2006/relationships/hyperlink" Target="https://hal.science/hal-04356031v1" TargetMode="External"/><Relationship Id="rId51" Type="http://schemas.openxmlformats.org/officeDocument/2006/relationships/hyperlink" Target="https://hal.science/search/index/?q=*&amp;authFullName_s=Laure Laref" TargetMode="External"/><Relationship Id="rId52" Type="http://schemas.openxmlformats.org/officeDocument/2006/relationships/hyperlink" Target="https://hal.science/hal-03609732v1" TargetMode="External"/><Relationship Id="rId53" Type="http://schemas.openxmlformats.org/officeDocument/2006/relationships/hyperlink" Target="https://hal.science/hal-03610674v1" TargetMode="External"/><Relationship Id="rId54" Type="http://schemas.openxmlformats.org/officeDocument/2006/relationships/hyperlink" Target="https://hal.science/hal-03610763v1" TargetMode="External"/><Relationship Id="rId55" Type="http://schemas.openxmlformats.org/officeDocument/2006/relationships/hyperlink" Target="https://univ-orleans.hal.science/hal-02964201v1" TargetMode="External"/><Relationship Id="rId56" Type="http://schemas.openxmlformats.org/officeDocument/2006/relationships/hyperlink" Target="https://univ-orleans.hal.science/hal-02964795v1" TargetMode="External"/><Relationship Id="rId57" Type="http://schemas.openxmlformats.org/officeDocument/2006/relationships/hyperlink" Target="https://univ-orleans.hal.science/hal-02964826v1" TargetMode="External"/><Relationship Id="rId58" Type="http://schemas.openxmlformats.org/officeDocument/2006/relationships/hyperlink" Target="https://univ-orleans.hal.science/hal-02964850v1" TargetMode="External"/><Relationship Id="rId59" Type="http://schemas.openxmlformats.org/officeDocument/2006/relationships/hyperlink" Target="https://univ-orleans.hal.science/hal-02964857v1" TargetMode="External"/><Relationship Id="rId60" Type="http://schemas.openxmlformats.org/officeDocument/2006/relationships/hyperlink" Target="https://hal.science/tel-03610444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LAURENT-BOUTOT</dc:title>
  <dc:description>CV</dc:description>
  <dc:subject/>
  <cp:keywords/>
  <cp:category/>
  <cp:lastModifiedBy/>
  <dcterms:created xsi:type="dcterms:W3CDTF">2026-05-08T11:52:32+02:00</dcterms:created>
  <dcterms:modified xsi:type="dcterms:W3CDTF">2026-05-08T11:52:32+02:00</dcterms:modified>
</cp:coreProperties>
</file>

<file path=docProps/custom.xml><?xml version="1.0" encoding="utf-8"?>
<Properties xmlns="http://schemas.openxmlformats.org/officeDocument/2006/custom-properties" xmlns:vt="http://schemas.openxmlformats.org/officeDocument/2006/docPropsVTypes"/>
</file>