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Lagane </w:t>
      </w:r>
      <w:r>
        <w:rPr>
          <w:color w:val="641e6e"/>
        </w:rPr>
        <w:t xml:space="preserve">Maîtresse de conférence en archéologie médiévale,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archéologie médiévale, Université de Caen NormandieCentre Michel de Bouärd - CRAHAM / UMR 6273 Caen</w:t>
      </w:r>
      <w:hyperlink r:id="rId8" w:history="1">
        <w:r>
          <w:rPr>
            <w:color w:val="#410a8c"/>
            <w:u w:val="single"/>
          </w:rPr>
          <w:t xml:space="preserve">cecile.lagane@unicaen.fr</w:t>
        </w:r>
      </w:hyperlink>
    </w:p>
    <w:p>
      <w:pPr>
        <w:pStyle w:val="Heading1"/>
      </w:pPr>
      <w:r>
        <w:rPr/>
        <w:t xml:space="preserve">Thèmes de recherche</w:t>
      </w:r>
    </w:p>
    <w:p>
      <w:pPr/>
      <w:r>
        <w:rPr>
          <w:i w:val="1"/>
          <w:iCs w:val="1"/>
        </w:rPr>
        <w:t xml:space="preserve">Étude pluridisciplinaire de la culture matérielle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technique des artefacts en bois et en métal</w:t>
      </w:r>
      <w:r>
        <w:rPr/>
        <w:t xml:space="preserve"> (travail des matériaux, fabrication des objets, typochronologies)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Perception de la culture matérielle par les populations du Moyen Âge</w:t>
      </w:r>
      <w:r>
        <w:rPr/>
        <w:t xml:space="preserve"> dans sa matérialité, ses usages, ses considérations pratiques et symboliques (représentation iconographiques, descriptions littéraires, mentions administratives, lexicologie)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des mouvements d’échanges et de transferts liés à la culture matérielle médiévale</w:t>
      </w:r>
      <w:r>
        <w:rPr/>
        <w:t xml:space="preserve"> (distribution géographique et chronologique des types d’artefacts, des techniques de fabrication, d’usages)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 l’intégration des meubles et de l’ameublement dans leur environnement architectural</w:t>
      </w:r>
      <w:r>
        <w:rPr/>
        <w:t xml:space="preserve"> (cohérence des éléments stylistiques, prise en compte des éléments architecturaux existants, adaptation du bâtiment aux meubles)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Réflexion historiographique et épistémologique</w:t>
      </w:r>
      <w:r>
        <w:rPr/>
        <w:t xml:space="preserve"> sur la culture matérielle (approche archéologique, analyse descriptive)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du mobilier équestre</w:t>
      </w:r>
      <w:r>
        <w:rPr/>
        <w:t xml:space="preserve"> équipements et pratiques équestres au Moyen Âge</w:t>
      </w:r>
    </w:p>
    <w:p>
      <w:pPr/>
      <w:r>
        <w:rPr>
          <w:i w:val="1"/>
          <w:iCs w:val="1"/>
        </w:rPr>
        <w:t xml:space="preserve">Projet Oscellus : étude pluridisciplinaire des îles fluviales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 des îles de la basse vallée de la Seine</w:t>
      </w:r>
      <w:r>
        <w:rPr/>
        <w:t xml:space="preserve">, en particulier dans le secteur d'Oissel / Tourville-la-Rivière (Seine-Maritime)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vestiges archéologiques</w:t>
      </w:r>
      <w:r>
        <w:rPr/>
        <w:t xml:space="preserve"> sur les îles aux Bœufs et Sainte-Catherine, dans les bras secondaires de la Seine et le long de la berge sud, notamment en lien avec le camp d’Oissel occupé par les vikings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modalités d’aménagement et d’implantation</w:t>
      </w:r>
      <w:r>
        <w:rPr/>
        <w:t xml:space="preserve"> de populations en contexte fluvial, à la fois sur les îles et en bord de berge, à travers l’analyse des vestiges mis au jour en milieu terrestre et subaquatique (épaves, aménagements de berges, mobilier)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liens entre pouvoirs locaux et les populations</w:t>
      </w:r>
      <w:r>
        <w:rPr/>
        <w:t xml:space="preserve"> vivant dans l’espace d’étude (gestion, justice, fiscalité, impact des activités vikings)</w:t>
      </w:r>
    </w:p>
    <w:p>
      <w:pPr>
        <w:pStyle w:val="Heading1"/>
      </w:pPr>
      <w:r>
        <w:rPr/>
        <w:t xml:space="preserve">Enseignement</w:t>
      </w:r>
    </w:p>
    <w:p>
      <w:pPr/>
      <w:r>
        <w:rPr>
          <w:i w:val="1"/>
          <w:iCs w:val="1"/>
        </w:rPr>
        <w:t xml:space="preserve">Expériences</w:t>
      </w:r>
    </w:p>
    <w:p>
      <w:pPr/>
      <w:r>
        <w:rPr>
          <w:b w:val="1"/>
          <w:bCs w:val="1"/>
        </w:rPr>
        <w:t xml:space="preserve">Depuis Septembre 2024</w:t>
      </w:r>
      <w:r>
        <w:rPr/>
        <w:t xml:space="preserve"> Maîtresse de conférences en archéologie médiévale, université de Caen Normandie</w:t>
      </w:r>
      <w:r>
        <w:rPr>
          <w:b w:val="1"/>
          <w:bCs w:val="1"/>
        </w:rPr>
        <w:t xml:space="preserve">2022-2024</w:t>
      </w:r>
      <w:r>
        <w:rPr/>
        <w:t xml:space="preserve">  ATER en archéologie médiévale à l'Université de Caen Normandie</w:t>
      </w:r>
      <w:r>
        <w:rPr>
          <w:b w:val="1"/>
          <w:bCs w:val="1"/>
        </w:rPr>
        <w:t xml:space="preserve">2021 - 2022</w:t>
      </w:r>
      <w:r>
        <w:rPr/>
        <w:t xml:space="preserve"> Enseignante contractuelle en archéologie médiévale à l'Université Bordeaux Montaigne</w:t>
      </w:r>
      <w:r>
        <w:rPr>
          <w:b w:val="1"/>
          <w:bCs w:val="1"/>
        </w:rPr>
        <w:t xml:space="preserve">2017 - 2020</w:t>
      </w:r>
      <w:r>
        <w:rPr/>
        <w:t xml:space="preserve"> Enseignante contractuelleen histoire et archéologie du Moyen Âge à l’Université de Pau et des Pays de l’Adour</w:t>
      </w:r>
      <w:r>
        <w:rPr>
          <w:b w:val="1"/>
          <w:bCs w:val="1"/>
        </w:rPr>
        <w:t xml:space="preserve">2016-2017</w:t>
      </w:r>
      <w:r>
        <w:rPr/>
        <w:t xml:space="preserve"> Enseignante vacataire en histoire médiévale à l’Université Bordeaux Montaigne</w:t>
      </w:r>
      <w:r>
        <w:rPr>
          <w:b w:val="1"/>
          <w:bCs w:val="1"/>
        </w:rPr>
        <w:t xml:space="preserve">2015 - 2016</w:t>
      </w:r>
      <w:r>
        <w:rPr/>
        <w:t xml:space="preserve"> Enseignante vacataire en archéologie médiévale à l’Université de Poitiers</w:t>
      </w:r>
    </w:p>
    <w:p>
      <w:pPr/>
      <w:r>
        <w:rPr>
          <w:i w:val="1"/>
          <w:iCs w:val="1"/>
        </w:rPr>
        <w:t xml:space="preserve">Thèmes d'enseignement</w:t>
      </w:r>
    </w:p>
    <w:p>
      <w:pPr/>
      <w:r>
        <w:rPr>
          <w:b w:val="1"/>
          <w:bCs w:val="1"/>
        </w:rPr>
        <w:t xml:space="preserve">Archéologie médiévale</w:t>
      </w:r>
      <w:r>
        <w:rPr/>
        <w:t xml:space="preserve"> : méthodologie, habitat rural, habitat urbain, méthodes de construction, pratiques funéraires, culture matérielle, modes de vie, monde rural</w:t>
      </w:r>
      <w:r>
        <w:rPr>
          <w:b w:val="1"/>
          <w:bCs w:val="1"/>
        </w:rPr>
        <w:t xml:space="preserve">Méthodes de l'archéologie</w:t>
      </w:r>
      <w:r>
        <w:rPr/>
        <w:t xml:space="preserve"> : initiation à l'archéologie, méthodes de terrain, post-fouille, épistémologie, historiographie, anglais archéologique, approches interdisciplinaires du site archéologique, dessin d'objets, méthodologie du mémoire</w:t>
      </w:r>
      <w:r>
        <w:rPr>
          <w:b w:val="1"/>
          <w:bCs w:val="1"/>
        </w:rPr>
        <w:t xml:space="preserve">Histoire médiévale</w:t>
      </w:r>
      <w:r>
        <w:rPr/>
        <w:t xml:space="preserve"> : premier et second Moyen Âge, culture et loisirs au Moyen Âge</w:t>
      </w:r>
      <w:r>
        <w:rPr>
          <w:b w:val="1"/>
          <w:bCs w:val="1"/>
        </w:rPr>
        <w:t xml:space="preserve">Méthodologie du travail universitaire</w:t>
      </w:r>
      <w:r>
        <w:rPr/>
        <w:t xml:space="preserve"> : MTU, épistémologie, historiographie</w:t>
      </w:r>
      <w:r>
        <w:rPr>
          <w:b w:val="1"/>
          <w:bCs w:val="1"/>
        </w:rPr>
        <w:t xml:space="preserve">Patrimoine</w:t>
      </w:r>
      <w:r>
        <w:rPr/>
        <w:t xml:space="preserve"> : patrimoine mobilier</w:t>
      </w:r>
    </w:p>
    <w:p>
      <w:pPr>
        <w:pStyle w:val="Heading1"/>
      </w:pPr>
      <w:r>
        <w:rPr/>
        <w:t xml:space="preserve">Expertise archéologique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2018 - 2024</w:t>
      </w:r>
      <w:r>
        <w:rPr/>
        <w:t xml:space="preserve"> Activité d’expertise archéologique en mobilier médiéval pour la valorisation du patrimoine et travaux archéologiques en tout genre (études, inventaire et traitement de mobilier, relecture de manuscrits)</w:t>
      </w:r>
      <w:r>
        <w:rPr>
          <w:b w:val="1"/>
          <w:bCs w:val="1"/>
        </w:rPr>
        <w:t xml:space="preserve">Printemps 2021</w:t>
      </w:r>
      <w:r>
        <w:rPr/>
        <w:t xml:space="preserve"> Inventaire photographique du mobilier en métal et en cuir du site archéologique urbain de Brouage (17) – contrat CNRS/ITEM (Pau)</w:t>
      </w:r>
      <w:r>
        <w:rPr>
          <w:b w:val="1"/>
          <w:bCs w:val="1"/>
        </w:rPr>
        <w:t xml:space="preserve">Avril – Mai 2021</w:t>
      </w:r>
      <w:r>
        <w:rPr/>
        <w:t xml:space="preserve"> Étude et production de mobilier compatible avec un contexte templier champenois, valorisation du patrimoine, commanderie templière d’Avalleur (10) – contrat Département de l’Aube</w:t>
      </w:r>
      <w:r>
        <w:rPr>
          <w:b w:val="1"/>
          <w:bCs w:val="1"/>
        </w:rPr>
        <w:t xml:space="preserve">Mars 2021</w:t>
      </w:r>
      <w:r>
        <w:rPr/>
        <w:t xml:space="preserve"> Reprise de DAO pour le site archéologique urbain de Brouage (17) – contrat CNRS / CESCM (Poitiers)</w:t>
      </w:r>
      <w:r>
        <w:rPr>
          <w:b w:val="1"/>
          <w:bCs w:val="1"/>
        </w:rPr>
        <w:t xml:space="preserve">Décembre 2020 – Mars 2021</w:t>
      </w:r>
      <w:r>
        <w:rPr/>
        <w:t xml:space="preserve"> Étude préliminaire du mobilier métallique du château médiéval de Montaner (64) – contrat UPPA (Pau)</w:t>
      </w:r>
      <w:r>
        <w:rPr>
          <w:b w:val="1"/>
          <w:bCs w:val="1"/>
        </w:rPr>
        <w:t xml:space="preserve">Juillet 2018 – Avril 2020</w:t>
      </w:r>
      <w:r>
        <w:rPr/>
        <w:t xml:space="preserve"> Étude et production de mobilier compatible avec un contexte royal angevin, valorisation du patrimoine, forteresse de Chinon (36) – contrat Département de Indre-et-Loire</w:t>
      </w:r>
    </w:p>
    <w:p>
      <w:pPr>
        <w:pStyle w:val="Heading1"/>
      </w:pPr>
      <w:r>
        <w:rPr/>
        <w:t xml:space="preserve">Activité de fouilles</w:t>
      </w:r>
    </w:p>
    <w:p>
      <w:pPr>
        <w:pStyle w:val="Heading1"/>
      </w:pPr>
    </w:p>
    <w:p>
      <w:pPr/>
      <w:r>
        <w:rPr>
          <w:i w:val="1"/>
          <w:iCs w:val="1"/>
        </w:rPr>
        <w:t xml:space="preserve">Direction d'opérations programmées</w:t>
      </w:r>
    </w:p>
    <w:p>
      <w:pPr/>
      <w:r>
        <w:rPr>
          <w:b w:val="1"/>
          <w:bCs w:val="1"/>
        </w:rPr>
        <w:t xml:space="preserve">2024 Oscellus</w:t>
      </w:r>
      <w:r>
        <w:rPr/>
        <w:t xml:space="preserve"> Campagne de prospections géophysiques, géomorphologiques et pédestre et campagne de relevés sur l'île aux Boeufs, Oissel/Tourville-la-Rivière (Seine-Maritime)</w:t>
      </w:r>
      <w:r>
        <w:rPr>
          <w:b w:val="1"/>
          <w:bCs w:val="1"/>
        </w:rPr>
        <w:t xml:space="preserve">2023 Oscellus</w:t>
      </w:r>
      <w:r>
        <w:rPr/>
        <w:t xml:space="preserve"> Campagne de prospections géophysiques et subaquatiques sur le secteur Oissel/Tourville-la-Rivière de la basse vallée de la Seine, prospection pédestre sur l'île aux Boeufs à Oissel/Tourville-la-Rivière (Seine-Maritime)</w:t>
      </w:r>
    </w:p>
    <w:p>
      <w:pPr/>
      <w:r>
        <w:rPr>
          <w:i w:val="1"/>
          <w:iCs w:val="1"/>
        </w:rPr>
        <w:t xml:space="preserve">Opérations d’archéologie préventive</w:t>
      </w:r>
    </w:p>
    <w:p>
      <w:pPr/>
      <w:r>
        <w:rPr>
          <w:b w:val="1"/>
          <w:bCs w:val="1"/>
        </w:rPr>
        <w:t xml:space="preserve">Mars - Juin 2022</w:t>
      </w:r>
      <w:r>
        <w:rPr/>
        <w:t xml:space="preserve"> chemin de l’Import et Mougnac, 47520 Le Passage (Lot-et-Garonne), dir. Frédéric Gerber, Inrap, motte castrale médiévale</w:t>
      </w:r>
    </w:p>
    <w:p>
      <w:pPr/>
      <w:r>
        <w:rPr>
          <w:b w:val="1"/>
          <w:bCs w:val="1"/>
        </w:rPr>
        <w:t xml:space="preserve">Octobre 2021 - Janvier 2022</w:t>
      </w:r>
      <w:r>
        <w:rPr/>
        <w:t xml:space="preserve"> chemin de Rouquette, Villeneuve-sur-Lot (Lot-et-Garonne), dir. Grégory Artigau, Inrap, habitat urbain gallo-romain et occupation gauloise</w:t>
      </w:r>
    </w:p>
    <w:p>
      <w:pPr/>
      <w:r>
        <w:rPr>
          <w:b w:val="1"/>
          <w:bCs w:val="1"/>
        </w:rPr>
        <w:t xml:space="preserve">Août - Septembre 2021</w:t>
      </w:r>
      <w:r>
        <w:rPr/>
        <w:t xml:space="preserve"> rue Bourlange, Villeneuve-sur-Lot (Lot-et-Garonne), dir. Grégory Artigau, Inrap, habitat urbain gallo-romain</w:t>
      </w:r>
    </w:p>
    <w:p>
      <w:pPr/>
      <w:r>
        <w:rPr>
          <w:b w:val="1"/>
          <w:bCs w:val="1"/>
        </w:rPr>
        <w:t xml:space="preserve">Juin 2021</w:t>
      </w:r>
      <w:r>
        <w:rPr/>
        <w:t xml:space="preserve"> stade des Cordeliers, Morlaàs (Pyrénées-Atlantiques), dir. Nicolas Guinaudeau, Acter archéologie, ancien couvent des Cordeliers</w:t>
      </w:r>
    </w:p>
    <w:p>
      <w:pPr/>
      <w:r>
        <w:rPr>
          <w:b w:val="1"/>
          <w:bCs w:val="1"/>
        </w:rPr>
        <w:t xml:space="preserve">Juillet-Septembre 2017</w:t>
      </w:r>
      <w:r>
        <w:rPr/>
        <w:t xml:space="preserve"> Limoges Evolution, avenue de la Révolution, Limoges (Haute-Vienne), dir. Raphaël Macario, Hadès Archéologie, fouille préventive, quartier urbain gallo-romain</w:t>
      </w:r>
    </w:p>
    <w:p>
      <w:pPr/>
      <w:r>
        <w:rPr>
          <w:b w:val="1"/>
          <w:bCs w:val="1"/>
        </w:rPr>
        <w:t xml:space="preserve">Février-avril 2017</w:t>
      </w:r>
      <w:r>
        <w:rPr/>
        <w:t xml:space="preserve"> Le Pontet, Carignan-de-Bordeaux (Gironde), dir. Laetitia Bonelli, Hadès Archéologie, fouille préventive, villa gallo-romaine et activité métallurgique alto-médiévale</w:t>
      </w:r>
    </w:p>
    <w:p>
      <w:pPr/>
      <w:r>
        <w:rPr>
          <w:b w:val="1"/>
          <w:bCs w:val="1"/>
        </w:rPr>
        <w:t xml:space="preserve">Mars 2010</w:t>
      </w:r>
      <w:r>
        <w:rPr/>
        <w:t xml:space="preserve"> Relevés topographiques et manuels, caves médiévales de l’Hôtel Doyneau, rue de la Chaîne, Poitiers (Vienne), contrat A.A.P.C.</w:t>
      </w:r>
    </w:p>
    <w:p>
      <w:pPr/>
      <w:r>
        <w:rPr>
          <w:i w:val="1"/>
          <w:iCs w:val="1"/>
        </w:rPr>
        <w:t xml:space="preserve">Opérations d’archéologie programmée</w:t>
      </w:r>
    </w:p>
    <w:p>
      <w:pPr/>
      <w:r>
        <w:rPr>
          <w:b w:val="1"/>
          <w:bCs w:val="1"/>
        </w:rPr>
        <w:t xml:space="preserve">Archéologie subaquatique et sous-marine</w:t>
      </w:r>
      <w:r>
        <w:rPr>
          <w:b w:val="1"/>
          <w:bCs w:val="1"/>
        </w:rPr>
        <w:t xml:space="preserve">Depuis 2021</w:t>
      </w:r>
      <w:r>
        <w:rPr/>
        <w:t xml:space="preserve"> embouchure de la Rance, Saint-Malo (Ille-et-Vilaine), dir. A. Hoyau-Berry, COH J. Veira (Adramar), épave immergée, XVIIIe s.</w:t>
      </w:r>
      <w:r>
        <w:rPr>
          <w:b w:val="1"/>
          <w:bCs w:val="1"/>
        </w:rPr>
        <w:t xml:space="preserve">Octobre 2022</w:t>
      </w:r>
      <w:r>
        <w:rPr/>
        <w:t xml:space="preserve"> fleuve Charente, Saint-Vaize (Charente-Maritime), dir. V. Morin, COH J.-F. Mariotti (AREPMAREF), pirogue fin VIIe s.</w:t>
      </w:r>
      <w:r>
        <w:rPr>
          <w:b w:val="1"/>
          <w:bCs w:val="1"/>
        </w:rPr>
        <w:t xml:space="preserve">Juillet 2021</w:t>
      </w:r>
      <w:r>
        <w:rPr/>
        <w:t xml:space="preserve"> rivière Ill, Benfeld et Sand (Bas-Rhin), dir. H. Schillinger, COH E. Rault (Archéologie Alsace), aménagements de rive gallo-romains et structures de l’Âge de bronze, Ier mill. av. n. è.</w:t>
      </w:r>
    </w:p>
    <w:p>
      <w:pPr/>
      <w:r>
        <w:rPr>
          <w:b w:val="1"/>
          <w:bCs w:val="1"/>
        </w:rPr>
        <w:t xml:space="preserve">Archéologie terrestre</w:t>
      </w:r>
      <w:r>
        <w:rPr>
          <w:b w:val="1"/>
          <w:bCs w:val="1"/>
        </w:rPr>
        <w:t xml:space="preserve">2013-2016</w:t>
      </w:r>
      <w:r>
        <w:rPr/>
        <w:t xml:space="preserve"> Les Pierrières, Batilly-en-Gâtinais (Loiret), dir. S. Fichtl (univ. Strasbourg), habitat aristocratique rural gaulois, IIe-Ier siècle av. J.-C.</w:t>
      </w:r>
      <w:r>
        <w:rPr>
          <w:b w:val="1"/>
          <w:bCs w:val="1"/>
        </w:rPr>
        <w:t xml:space="preserve">Février 2011</w:t>
      </w:r>
      <w:r>
        <w:rPr/>
        <w:t xml:space="preserve">  prospection pédestre thématique (recherche de charbonnières), forêt de la Braconne (Charente-Maritime), dir. Graziella Rassat (univ. Limoges)</w:t>
      </w:r>
      <w:r>
        <w:rPr>
          <w:b w:val="1"/>
          <w:bCs w:val="1"/>
        </w:rPr>
        <w:t xml:space="preserve">Juillet 2010</w:t>
      </w:r>
      <w:r>
        <w:rPr/>
        <w:t xml:space="preserve"> Glinet (Seine-Maritime), dir. D. Arribet-Deroin (univ. Paris 1), haut fourneau, XVe-XVIe s. – 4 semaines</w:t>
      </w:r>
      <w:r>
        <w:rPr>
          <w:b w:val="1"/>
          <w:bCs w:val="1"/>
        </w:rPr>
        <w:t xml:space="preserve">2009-2010</w:t>
      </w:r>
      <w:r>
        <w:rPr/>
        <w:t xml:space="preserve"> Le Montpaon, Fontvieille (Bouches-du-Rhône), dir. J.-C. Treglia (univ. Aix-Marseille), habitat castral, XIIe-XVIe s.</w:t>
      </w:r>
      <w:r>
        <w:rPr>
          <w:b w:val="1"/>
          <w:bCs w:val="1"/>
        </w:rPr>
        <w:t xml:space="preserve">2008-2009</w:t>
      </w:r>
      <w:r>
        <w:rPr/>
        <w:t xml:space="preserve"> Jau-Dignac-et-Loirac (Gironde), dir. I. Cartron (univ. Bordeaux 3) et D. Castex (Univ. Bordeaux 1), fanum, nécropole et église, IVe-XVIIIe s.</w:t>
      </w:r>
    </w:p>
    <w:p>
      <w:pPr>
        <w:pStyle w:val="Heading1"/>
      </w:pPr>
      <w:r>
        <w:rPr/>
        <w:t xml:space="preserve">Formations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2021</w:t>
      </w:r>
      <w:r>
        <w:rPr/>
        <w:t xml:space="preserve"> Certification d'aptitude à la conduite d'engins de chantier</w:t>
      </w:r>
      <w:r>
        <w:rPr>
          <w:b w:val="1"/>
          <w:bCs w:val="1"/>
        </w:rPr>
        <w:t xml:space="preserve">2021</w:t>
      </w:r>
      <w:r>
        <w:rPr/>
        <w:t xml:space="preserve"> Certificat d'aptitude à l'hyperbarie Classe IB</w:t>
      </w:r>
      <w:r>
        <w:rPr>
          <w:b w:val="1"/>
          <w:bCs w:val="1"/>
        </w:rPr>
        <w:t xml:space="preserve">2019 Qualification au CNU</w:t>
      </w:r>
      <w:r>
        <w:rPr/>
        <w:t xml:space="preserve"> 21e section, requalification 2023</w:t>
      </w:r>
      <w:r>
        <w:rPr>
          <w:b w:val="1"/>
          <w:bCs w:val="1"/>
        </w:rPr>
        <w:t xml:space="preserve">2012-2016 Doctorat</w:t>
      </w:r>
      <w:r>
        <w:rPr/>
        <w:t xml:space="preserve"> à l’Université de Poitiers (allocation d’Etat, contrat doctoral) puis à l’Université de Caen Normandie.Thèse : </w:t>
      </w:r>
      <w:r>
        <w:rPr>
          <w:i w:val="1"/>
          <w:iCs w:val="1"/>
        </w:rPr>
        <w:t xml:space="preserve">Les meubles et l’ameublement d’Europe occidentale du VIe au XIIIe siècle : archéologie, iconographie et textes</w:t>
      </w:r>
      <w:r>
        <w:rPr/>
        <w:t xml:space="preserve">, dir. Luc Bourgeois, Université de Caen Normandie, Centre Michel de Boüard-CRAHAM UMR 6273 (soutenue le 12 décembre 2016)</w:t>
      </w:r>
      <w:r>
        <w:rPr>
          <w:b w:val="1"/>
          <w:bCs w:val="1"/>
        </w:rPr>
        <w:t xml:space="preserve">2010-2011 Master II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 mobilier en fer du quartier nord-ouest du bas castrum de Châlucet (Haute-Vienne) : vie quotidienne d’un enclos aristocratique aux XIIIe et XIVe siècles</w:t>
      </w:r>
      <w:r>
        <w:rPr/>
        <w:t xml:space="preserve">, dir. Luc Bourgeois. Mention Très Bien</w:t>
      </w:r>
      <w:r>
        <w:rPr>
          <w:b w:val="1"/>
          <w:bCs w:val="1"/>
        </w:rPr>
        <w:t xml:space="preserve">2009-2010 Master 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Les éperons de cavalier du VIe au XIIe siècle en Europe non méditerranéenne</w:t>
      </w:r>
      <w:r>
        <w:rPr/>
        <w:t xml:space="preserve">, dir. L. Bourgeois. Mention Très Bien</w:t>
      </w:r>
      <w:r>
        <w:rPr>
          <w:b w:val="1"/>
          <w:bCs w:val="1"/>
        </w:rPr>
        <w:t xml:space="preserve">2008-2009 Licence d’archéologie</w:t>
      </w:r>
      <w:r>
        <w:rPr/>
        <w:t xml:space="preserve"> Université Bordeaux 3 Michel de Montaigne</w:t>
      </w:r>
      <w:r>
        <w:rPr>
          <w:b w:val="1"/>
          <w:bCs w:val="1"/>
        </w:rPr>
        <w:t xml:space="preserve">2006-2008 DEUG d’histoire</w:t>
      </w:r>
      <w:r>
        <w:rPr/>
        <w:t xml:space="preserve"> Université Bordeaux 3 Michel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ameublements médiévaux en Europe occidentale : VIe-XIIIe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Presses universitaires de Rennes. , 2023, Archéologie et Culture, 978-2/7535-9374-9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Perceval, la maîtrise de l’équitation et l’importance pratique et symbolique des éperons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Bertin, Georges. </w:t>
            </w:r>
            <w:r>
              <w:rPr>
                <w:i w:val="1"/>
                <w:iCs w:val="1"/>
              </w:rPr>
              <w:t xml:space="preserve">Les figures de Perceval</w:t>
            </w:r>
            <w:r>
              <w:rPr/>
              <w:t xml:space="preserve">, Editions du Cosmogone, 2021, Graal et chevalerie, 978-2-8103-0293-2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archéologique et technique d’un meuble médiéval : l’armoire de la cathédrale Notre-Dame de Bayeux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Henigfeld, Yves; Husi, Philippe; Ravoire, Fabienne.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recycler, Actes du colloque de la SAMMC, Bayeux 28-30 mai 2015</w:t>
            </w:r>
            <w:r>
              <w:rPr/>
              <w:t xml:space="preserve">, Presses universitaires de Caen, 2020, Publications du CRAHAM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culture matérielle par l’analyse croisée de corpus pluridisciplinaire : l’exemple des meubles et de l’ameublement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L’artefact dans ses multiples facettes de l’Antiquité à nos jours</w:t>
            </w:r>
            <w:r>
              <w:rPr/>
              <w:t xml:space="preserve">, Presses de l'Université de Pau et des Pays de l'Adour, 2019,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fer ou d’alliage : les objets métalliques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/>
              <w:t xml:space="preserve">Conte, Patrice. </w:t>
            </w:r>
            <w:r>
              <w:rPr>
                <w:i w:val="1"/>
                <w:iCs w:val="1"/>
              </w:rPr>
              <w:t xml:space="preserve">Châlucet castrum limousin : chevaliers, coseigneurs et mercenaires, XIIe-XVIe siècles</w:t>
            </w:r>
            <w:r>
              <w:rPr/>
              <w:t xml:space="preserve">, Culture et Patrimoine en Limousin, pp.63-70,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L’épineuse lecture du « trône de Dagobert » : analyses stylistiques, techniques et matérielles. Utilisation, représentation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 Lorans, Thomas Pouyet et Gaël Simon (dir.), L’eau dans les villes d’Europe au Moyen Âge (IVe-XVe s.) : un vecteur de transformation de l’espace urbain, actes du colloque, Université de Tours, 21-23 octobre 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pp.344-346.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⟨10.4000/13jen⟩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meubles médiévaux aux époques modernes et contemporaines : entre dédain et vision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41,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⟨10.4000/peme.22047⟩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Lorans (dir.), Le cheval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pp.347-348.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⟨10.4000/archeomed.17953⟩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en X au Moyen Âge : de la sella castrensis au faldistorium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2016, 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du camp d'hivernage d'Oscellus sur la Seine : recherches historiques et archéologiques subaquatiques et terrestres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Fouiller sous l'eau : enjeux et perspectives de l'archéologie subaquatique et sous-marine</w:t>
            </w:r>
            <w:r>
              <w:rPr/>
              <w:t xml:space="preserve">, Cécile Lagane, Oct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transformation of furniture in their architectural environment: the armoires of Bayeux (Normandy) and Aubazine (Limousin)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thinking of medieval furniture</w:t>
            </w:r>
            <w:r>
              <w:rPr/>
              <w:t xml:space="preserve">, Chris Pickvance, Emeritus Professor of Urban studies, University of Kent,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à la croisée des disciplines : l’exercice difficile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laboratoires IRAA et ITEM, Université de Pau et des Pays de l’Adour, Penser la frontière</w:t>
            </w:r>
            <w:r>
              <w:rPr/>
              <w:t xml:space="preserve">, Françoise des Bosc,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Dagobert et ses interprétations : enquête sur les sceaux en majesté des rois de France XIIe-XVIe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l'objet médiéval : archéologie et systèmes de représentation : Stalles, chaires et sièges</w:t>
            </w:r>
            <w:r>
              <w:rPr/>
              <w:t xml:space="preserve">, Nov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“throne of Dagobert”: Real royal artefact or tool of propaganda by Suger?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de la British Archaeological Association</w:t>
            </w:r>
            <w:r>
              <w:rPr/>
              <w:t xml:space="preserve">, Luxford, Julian; Heslop, Sandy; de Beer, Lloyd; Astell, Roisin,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Sièges en X ou trône de Dagobert, la question de l’identification des sièges sur les sceaux en majesté des rois de France (XIIe-XVIe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ITEM, Université de Pau et des Pays de l’Adour, Signes, seings et sceaux : identification et authentification au Moyen Âge et à la Renaissance</w:t>
            </w:r>
            <w:r>
              <w:rPr/>
              <w:t xml:space="preserve">, Harai, Dénes; Chareyre, Philippe,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meubles au Moyen Âge à travers les textes, les images et les objets : l’exemple des sièges en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des doctorants, Université de Pau et des Pays de l'Adour, Penser, traduire et transmettre : les multiples facettes de l’artefact</w:t>
            </w:r>
            <w:r>
              <w:rPr/>
              <w:t xml:space="preserve">, Giuseppe Indino,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typologie des coffres médiévaux : révisions de lieux communs admis depuis le XIXe siècle à la lumière d’analyses textuelles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l’INHA, Regards croisés autour de l’objet médiéval : les coffres médiévaux</w:t>
            </w:r>
            <w:r>
              <w:rPr/>
              <w:t xml:space="preserve">, Marchesin, Isabelle,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en Europe du Nord-Ouest (VIe – XIIIe siècle) : l’intérêt de l’étude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médiévale et moderne, Université Paris 1 Panthéon-Sorbonne, L’équipement de la maison médiévale</w:t>
            </w:r>
            <w:r>
              <w:rPr/>
              <w:t xml:space="preserve">, Arribet-Deroin, Danielle; Journot, Florence; Nissen, Anne,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: meuble à tout faire du Moyen Âge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Brigitte Boissavit-Camus; Mathieu Linlaud,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d’un meuble emblématique : l’armoire d’Aubazine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Boissavit-Camus, Brigitte; Linlaud, Mathieu,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d’identification des marqueurs caractéristiques de la lèpre appliquée à l’étude anthropologique des individus de la léproserie de Putot-en-Bessin (XIIIe-XVIes., Calvados)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2026 du Groupe des Paléopathologistes de Langue Française (GPLF) : hommages à M.D. Grmek et J. Bérato</w:t>
            </w:r>
            <w:r>
              <w:rPr/>
              <w:t xml:space="preserve">, Mar 2026, Caen (Abbaye d'Ardenne) / Caen (MRSH),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hospitalière au XVIIe s. à Avalleur (Aube) : recherches et propositions de mobilier pour la chambre du commandeur et le cabinet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templière de la fin du XIIe s. au début du XIVe s. à Avalleur (Aube) : recherches et propositions de mobilier pour le dortoir et le réfectoire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 mobilier de la cour Plantagenêt dans la seconde moitié du XIIe siècle à Chinon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[Rapport de recherche] Département d'Indre-et-Loire.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médiévaux en Europe occidentale : VIe -XIIIe s, Catalogues d'objets, de références iconographiques et de références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Archéologie et Préhistoire. Université Caen Normandie,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tel-04206541v1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2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A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lagane@unicaen.fr" TargetMode="External"/><Relationship Id="rId9" Type="http://schemas.openxmlformats.org/officeDocument/2006/relationships/hyperlink" Target="https://hal.science/hal-04206551v1" TargetMode="External"/><Relationship Id="rId10" Type="http://schemas.openxmlformats.org/officeDocument/2006/relationships/hyperlink" Target="https://hal.science/search/index/?q=*&amp;authFullName_s=C&#233;cile Lagane" TargetMode="External"/><Relationship Id="rId11" Type="http://schemas.openxmlformats.org/officeDocument/2006/relationships/hyperlink" Target="https://hal.science/hal-03216143v1" TargetMode="External"/><Relationship Id="rId12" Type="http://schemas.openxmlformats.org/officeDocument/2006/relationships/hyperlink" Target="https://hal.science/hal-02455559v1" TargetMode="External"/><Relationship Id="rId13" Type="http://schemas.openxmlformats.org/officeDocument/2006/relationships/hyperlink" Target="https://hal.science/hal-03216072v1" TargetMode="External"/><Relationship Id="rId14" Type="http://schemas.openxmlformats.org/officeDocument/2006/relationships/hyperlink" Target="https://hal.science/hal-02455507v1" TargetMode="External"/><Relationship Id="rId15" Type="http://schemas.openxmlformats.org/officeDocument/2006/relationships/hyperlink" Target="https://hal.science/search/index/?q=*&amp;authFullName_s=Mathieu Linlaud" TargetMode="External"/><Relationship Id="rId16" Type="http://schemas.openxmlformats.org/officeDocument/2006/relationships/hyperlink" Target="https://dx.doi.org/10.1484/M.CSM-EB.5.116265" TargetMode="External"/><Relationship Id="rId17" Type="http://schemas.openxmlformats.org/officeDocument/2006/relationships/hyperlink" Target="https://hal.science/hal-02455540v1" TargetMode="External"/><Relationship Id="rId18" Type="http://schemas.openxmlformats.org/officeDocument/2006/relationships/hyperlink" Target="https://hal.science/search/index/?q=*&amp;authFullName_s=Michel Barr&#232;re" TargetMode="External"/><Relationship Id="rId19" Type="http://schemas.openxmlformats.org/officeDocument/2006/relationships/hyperlink" Target="https://hal.science/hal-05144836v1" TargetMode="External"/><Relationship Id="rId20" Type="http://schemas.openxmlformats.org/officeDocument/2006/relationships/hyperlink" Target="https://hal.science/search/index/?q=*&amp;authFullName_s=Lise Saussus" TargetMode="External"/><Relationship Id="rId21" Type="http://schemas.openxmlformats.org/officeDocument/2006/relationships/hyperlink" Target="https://hal.science/hal-05569536v1" TargetMode="External"/><Relationship Id="rId22" Type="http://schemas.openxmlformats.org/officeDocument/2006/relationships/hyperlink" Target="https://dx.doi.org/10.4000/13jen" TargetMode="External"/><Relationship Id="rId23" Type="http://schemas.openxmlformats.org/officeDocument/2006/relationships/hyperlink" Target="https://hal.science/hal-02455601v1" TargetMode="External"/><Relationship Id="rId24" Type="http://schemas.openxmlformats.org/officeDocument/2006/relationships/hyperlink" Target="https://dx.doi.org/10.4000/peme.22047" TargetMode="External"/><Relationship Id="rId25" Type="http://schemas.openxmlformats.org/officeDocument/2006/relationships/hyperlink" Target="https://hal.science/hal-02455614v1" TargetMode="External"/><Relationship Id="rId26" Type="http://schemas.openxmlformats.org/officeDocument/2006/relationships/hyperlink" Target="https://dx.doi.org/10.4000/archeomed.17953" TargetMode="External"/><Relationship Id="rId27" Type="http://schemas.openxmlformats.org/officeDocument/2006/relationships/hyperlink" Target="https://hal.science/hal-02455522v1" TargetMode="External"/><Relationship Id="rId28" Type="http://schemas.openxmlformats.org/officeDocument/2006/relationships/hyperlink" Target="https://hal.science/hal-04409195v1" TargetMode="External"/><Relationship Id="rId29" Type="http://schemas.openxmlformats.org/officeDocument/2006/relationships/hyperlink" Target="https://hal.science/hal-03216076v1" TargetMode="External"/><Relationship Id="rId30" Type="http://schemas.openxmlformats.org/officeDocument/2006/relationships/hyperlink" Target="https://hal.science/hal-02455625v1" TargetMode="External"/><Relationship Id="rId31" Type="http://schemas.openxmlformats.org/officeDocument/2006/relationships/hyperlink" Target="https://hal.science/hal-03853469v1" TargetMode="External"/><Relationship Id="rId32" Type="http://schemas.openxmlformats.org/officeDocument/2006/relationships/hyperlink" Target="https://hal.science/hal-03216080v1" TargetMode="External"/><Relationship Id="rId33" Type="http://schemas.openxmlformats.org/officeDocument/2006/relationships/hyperlink" Target="https://hal.science/hal-02455623v1" TargetMode="External"/><Relationship Id="rId34" Type="http://schemas.openxmlformats.org/officeDocument/2006/relationships/hyperlink" Target="https://hal.science/hal-02455627v1" TargetMode="External"/><Relationship Id="rId35" Type="http://schemas.openxmlformats.org/officeDocument/2006/relationships/hyperlink" Target="https://hal.science/hal-02455626v1" TargetMode="External"/><Relationship Id="rId36" Type="http://schemas.openxmlformats.org/officeDocument/2006/relationships/hyperlink" Target="https://hal.science/hal-02455628v1" TargetMode="External"/><Relationship Id="rId37" Type="http://schemas.openxmlformats.org/officeDocument/2006/relationships/hyperlink" Target="https://hal.science/hal-02455629v1" TargetMode="External"/><Relationship Id="rId38" Type="http://schemas.openxmlformats.org/officeDocument/2006/relationships/hyperlink" Target="https://hal.science/hal-02455630v1" TargetMode="External"/><Relationship Id="rId39" Type="http://schemas.openxmlformats.org/officeDocument/2006/relationships/hyperlink" Target="https://cnrs.hal.science/hal-05582170v1" TargetMode="External"/><Relationship Id="rId40" Type="http://schemas.openxmlformats.org/officeDocument/2006/relationships/hyperlink" Target="https://hal.science/search/index/?q=*&amp;authFullName_s=Ga&#235;tan Anne" TargetMode="External"/><Relationship Id="rId41" Type="http://schemas.openxmlformats.org/officeDocument/2006/relationships/hyperlink" Target="https://hal.science/search/index/?q=*&amp;authFullName_s=C&#233;cile Chapelain de Ser&#233;ville-Niel" TargetMode="External"/><Relationship Id="rId42" Type="http://schemas.openxmlformats.org/officeDocument/2006/relationships/hyperlink" Target="https://hal.science/search/index/?q=*&amp;authFullName_s=Denis Bougault" TargetMode="External"/><Relationship Id="rId43" Type="http://schemas.openxmlformats.org/officeDocument/2006/relationships/hyperlink" Target="https://hal.science/hal-05386988v1" TargetMode="External"/><Relationship Id="rId44" Type="http://schemas.openxmlformats.org/officeDocument/2006/relationships/hyperlink" Target="https://hal.science/search/index/?q=*&amp;authFullName_s=L&#233;a Mairaville" TargetMode="External"/><Relationship Id="rId45" Type="http://schemas.openxmlformats.org/officeDocument/2006/relationships/hyperlink" Target="https://hal.science/search/index/?q=*&amp;authFullName_s=Zo&#233; Sicard-Delage" TargetMode="External"/><Relationship Id="rId46" Type="http://schemas.openxmlformats.org/officeDocument/2006/relationships/hyperlink" Target="https://hal.science/search/index/?q=*&amp;authFullName_s=Stoil Chapkanski" TargetMode="External"/><Relationship Id="rId47" Type="http://schemas.openxmlformats.org/officeDocument/2006/relationships/hyperlink" Target="https://hal.science/search/index/?q=*&amp;authFullName_s=C&#233;cile Finco" TargetMode="External"/><Relationship Id="rId48" Type="http://schemas.openxmlformats.org/officeDocument/2006/relationships/hyperlink" Target="https://hal.science/hal-04928760v1" TargetMode="External"/><Relationship Id="rId49" Type="http://schemas.openxmlformats.org/officeDocument/2006/relationships/hyperlink" Target="https://shs.hal.science/halshs-04621866v1" TargetMode="External"/><Relationship Id="rId50" Type="http://schemas.openxmlformats.org/officeDocument/2006/relationships/hyperlink" Target="https://hal.science/search/index/?q=*&amp;authFullName_s=Pascal Loeuil" TargetMode="External"/><Relationship Id="rId51" Type="http://schemas.openxmlformats.org/officeDocument/2006/relationships/hyperlink" Target="https://hal.science/search/index/?q=*&amp;authFullName_s=Brigitte V&#233;quaud" TargetMode="External"/><Relationship Id="rId52" Type="http://schemas.openxmlformats.org/officeDocument/2006/relationships/hyperlink" Target="https://hal.science/search/index/?q=*&amp;authFullName_s=Flavien Bambagioni" TargetMode="External"/><Relationship Id="rId53" Type="http://schemas.openxmlformats.org/officeDocument/2006/relationships/hyperlink" Target="https://hal.science/search/index/?q=*&amp;authFullName_s=Emmanuel Barbier" TargetMode="External"/><Relationship Id="rId54" Type="http://schemas.openxmlformats.org/officeDocument/2006/relationships/hyperlink" Target="https://hal.science/hal-04928754v1" TargetMode="External"/><Relationship Id="rId55" Type="http://schemas.openxmlformats.org/officeDocument/2006/relationships/hyperlink" Target="https://hal.science/hal-03216208v1" TargetMode="External"/><Relationship Id="rId56" Type="http://schemas.openxmlformats.org/officeDocument/2006/relationships/hyperlink" Target="https://hal.science/tel-042065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Lagane</dc:title>
  <dc:description>CV</dc:description>
  <dc:subject/>
  <cp:keywords/>
  <cp:category/>
  <cp:lastModifiedBy/>
  <dcterms:created xsi:type="dcterms:W3CDTF">2026-06-03T11:41:16+02:00</dcterms:created>
  <dcterms:modified xsi:type="dcterms:W3CDTF">2026-06-03T11:41:16+02:00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