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Charles de Miramon </w:t>
      </w:r>
      <w:r>
        <w:rPr>
          <w:color w:val="641e6e"/>
        </w:rPr>
        <w:t xml:space="preserve">Directeur de recherche au Centre National de la Recherche Scientifique (CNRS)rattaché à l'Université Paris Panthéon-Assas</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7" w:history="1">
        <w:r>
          <w:rPr>
            <w:color w:val="#410a8c"/>
            <w:u w:val="single"/>
          </w:rPr>
          <w:t xml:space="preserve">charles-de-miramon</w:t>
        </w:r>
      </w:hyperlink>
    </w:p>
    <w:p>
      <w:pPr>
        <w:numPr>
          <w:ilvl w:val="0"/>
          <w:numId w:val="1"/>
        </w:numPr>
      </w:pPr>
      <w:r>
        <w:rPr/>
        <w:t xml:space="preserve"> IdRef : </w:t>
      </w:r>
      <w:hyperlink r:id="rId8" w:history="1">
        <w:r>
          <w:rPr>
            <w:color w:val="#410a8c"/>
            <w:u w:val="single"/>
          </w:rPr>
          <w:t xml:space="preserve">049598473</w:t>
        </w:r>
      </w:hyperlink>
    </w:p>
    <w:p>
      <w:pPr>
        <w:spacing w:before="600"/>
      </w:pPr>
    </w:p>
    <w:p>
      <w:pPr>
        <w:pStyle w:val="Heading2"/>
      </w:pPr>
      <w:r>
        <w:rPr>
          <w:color w:val="1e198e"/>
          <w:b w:val="1"/>
          <w:bCs w:val="1"/>
        </w:rPr>
        <w:t xml:space="preserve">Présentation</w:t>
      </w:r>
    </w:p>
    <w:p>
      <w:pPr>
        <w:spacing w:after="100"/>
      </w:pPr>
    </w:p>
    <w:p>
      <w:pPr/>
      <w:r>
        <w:rPr/>
        <w:t xml:space="preserve">Historien des discours et des pratiques normatives de l’Occident médiéval, je suis spécialiste du droit canonique classique (XIIe – XVe siècle). Je m’intéresse aussi pour cette période à la théologie, au droit romain, à l’histoire religieuse et culturelle. J'ai publié une monographie sur les rapports entre chanoines séculiers et droit canonique au tournant du XIIe siècle. J'y montre que les chapitres cathédraux et les collégiales ont constitué un laboratoire pour la juridicisation de l'Église et de la société médiévale. J’ai aussi écrit un livre sur les donnés, une forme de semi-religiosité répandue à partir du XIIe siècle dans les monastères et hôpitaux et plusieurs articles sur la conversion au monachisme à l'âge adulte. J’ai co-dirigé un groupe de chercheurs afin d'écrire une histoire de l'hérédité. Parmi mes sujets de recherche ces dernières années, on peut mentionner des études de la biologisation du droit de la famille au Moyen Âge, de l'invention du concept de Réforme grégorienne au XIXe siècle, et du droit des biens et de l'économie ecclésiastiques.</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(10)</w:t>
      </w:r>
    </w:p>
    <w:p>
      <w:pPr>
        <w:spacing w:after="100"/>
      </w:pPr>
    </w:p>
    <w:tbl>
      <w:tblGrid>
        <w:gridCol/>
      </w:tblGrid>
      <w:tblPr>
        <w:tblW w:w="0" w:type="auto"/>
        <w:tblLayout w:type="autofit"/>
      </w:tblPr>
      <w:tr>
        <w:trPr/>
        <w:tc>
          <w:tcPr>
            <w:noWrap/>
          </w:tcPr>
          <w:p>
            <w:pPr>
              <w:spacing w:after="200"/>
            </w:pPr>
            <w:hyperlink r:id="rId9" w:history="1">
              <w:r>
                <w:rPr>
                  <w:color w:val="1e198e"/>
                  <w:b w:val="1"/>
                  <w:bCs w:val="1"/>
                  <w:u w:val="single"/>
                </w:rPr>
                <w:t xml:space="preserve">Banishment, Community, and Legal Consciousness. The Peace of Cologne (1083–1160)</w:t>
              </w:r>
            </w:hyperlink>
          </w:p>
          <w:p>
            <w:pPr/>
            <w:hyperlink r:id="rId10" w:history="1">
              <w:r>
                <w:rPr>
                  <w:color w:val="#410a8c"/>
                  <w:u w:val="single"/>
                </w:rPr>
                <w:t xml:space="preserve">Charles de Miramon</w:t>
              </w:r>
            </w:hyperlink>
          </w:p>
          <w:p>
            <w:pPr/>
            <w:r>
              <w:rPr>
                <w:i w:val="1"/>
                <w:iCs w:val="1"/>
              </w:rPr>
              <w:t xml:space="preserve">Zeitschrift der Savigny-Stiftung für Rechtsgeschichte: Germanistische Abteilung</w:t>
            </w:r>
            <w:r>
              <w:rPr/>
              <w:t xml:space="preserve">, 2026, 143, pp.41-77</w:t>
            </w:r>
          </w:p>
          <w:p>
            <w:pPr/>
            <w:r>
              <w:rPr/>
              <w:t xml:space="preserve">Article dans une revue</w:t>
            </w:r>
          </w:p>
          <w:p>
            <w:pPr/>
            <w:hyperlink r:id="rId9" w:history="1">
              <w:r>
                <w:rPr>
                  <w:color w:val="#410a8c"/>
                  <w:u w:val="single"/>
                </w:rPr>
                <w:t xml:space="preserve">hal-05513004v1</w:t>
              </w:r>
            </w:hyperlink>
          </w:p>
        </w:tc>
      </w:tr>
      <w:tr>
        <w:trPr/>
        <w:tc>
          <w:tcPr>
            <w:noWrap/>
          </w:tcPr>
          <w:p>
            <w:pPr>
              <w:spacing w:after="200"/>
            </w:pPr>
            <w:hyperlink r:id="rId11" w:history="1">
              <w:r>
                <w:rPr>
                  <w:color w:val="1e198e"/>
                  <w:b w:val="1"/>
                  <w:bCs w:val="1"/>
                  <w:u w:val="single"/>
                </w:rPr>
                <w:t xml:space="preserve">Peut-on parler d'une biologisation du droit de la parenté au Moyen Âge ? La durée de la grossesse chez Cynus de Pistoie, Albéric de Rosate et Pierre Jacobi</w:t>
              </w:r>
            </w:hyperlink>
          </w:p>
          <w:p>
            <w:pPr/>
            <w:hyperlink r:id="rId10" w:history="1">
              <w:r>
                <w:rPr>
                  <w:color w:val="#410a8c"/>
                  <w:u w:val="single"/>
                </w:rPr>
                <w:t xml:space="preserve">Charles de Miramon</w:t>
              </w:r>
            </w:hyperlink>
            <w:r>
              <w:rPr/>
              <w:t xml:space="preserve">,</w:t>
            </w:r>
            <w:hyperlink r:id="rId12" w:history="1">
              <w:r>
                <w:rPr>
                  <w:color w:val="#410a8c"/>
                  <w:u w:val="single"/>
                </w:rPr>
                <w:t xml:space="preserve">Maaike van der Lugt</w:t>
              </w:r>
            </w:hyperlink>
          </w:p>
          <w:p>
            <w:pPr/>
            <w:r>
              <w:rPr>
                <w:i w:val="1"/>
                <w:iCs w:val="1"/>
              </w:rPr>
              <w:t xml:space="preserve">Droits : Revue française de théorie juridique</w:t>
            </w:r>
            <w:r>
              <w:rPr/>
              <w:t xml:space="preserve">, 2023, 76, pp.31-55. </w:t>
            </w:r>
            <w:hyperlink r:id="rId13" w:history="1">
              <w:r>
                <w:rPr>
                  <w:color w:val="#410a8c"/>
                  <w:u w:val="single"/>
                </w:rPr>
                <w:t xml:space="preserve">⟨10.3917/droit.076.0031⟩</w:t>
              </w:r>
            </w:hyperlink>
          </w:p>
          <w:p>
            <w:pPr/>
            <w:r>
              <w:rPr/>
              <w:t xml:space="preserve">Article dans une revue</w:t>
            </w:r>
          </w:p>
          <w:p>
            <w:pPr/>
            <w:hyperlink r:id="rId11" w:history="1">
              <w:r>
                <w:rPr>
                  <w:color w:val="#410a8c"/>
                  <w:u w:val="single"/>
                </w:rPr>
                <w:t xml:space="preserve">hal-04068006v1</w:t>
              </w:r>
            </w:hyperlink>
          </w:p>
        </w:tc>
      </w:tr>
      <w:tr>
        <w:trPr/>
        <w:tc>
          <w:tcPr>
            <w:noWrap/>
          </w:tcPr>
          <w:p>
            <w:pPr>
              <w:spacing w:after="200"/>
            </w:pPr>
            <w:hyperlink r:id="rId14" w:history="1">
              <w:r>
                <w:rPr>
                  <w:color w:val="1e198e"/>
                  <w:b w:val="1"/>
                  <w:bCs w:val="1"/>
                  <w:u w:val="single"/>
                </w:rPr>
                <w:t xml:space="preserve">1245 — Année canonique. Innocent IV et la religion universelle du droit naturel</w:t>
              </w:r>
            </w:hyperlink>
          </w:p>
          <w:p>
            <w:pPr/>
            <w:hyperlink r:id="rId10" w:history="1">
              <w:r>
                <w:rPr>
                  <w:color w:val="#410a8c"/>
                  <w:u w:val="single"/>
                </w:rPr>
                <w:t xml:space="preserve">Charles de Miramon</w:t>
              </w:r>
            </w:hyperlink>
          </w:p>
          <w:p>
            <w:pPr/>
            <w:r>
              <w:rPr>
                <w:i w:val="1"/>
                <w:iCs w:val="1"/>
              </w:rPr>
              <w:t xml:space="preserve">ThéoRèmes : Enjeux des approches empiriques des religions</w:t>
            </w:r>
            <w:r>
              <w:rPr/>
              <w:t xml:space="preserve">, 2022, 18, </w:t>
            </w:r>
            <w:hyperlink r:id="rId15" w:history="1">
              <w:r>
                <w:rPr>
                  <w:color w:val="#410a8c"/>
                  <w:u w:val="single"/>
                </w:rPr>
                <w:t xml:space="preserve">⟨10.4000/theoremes.11427⟩</w:t>
              </w:r>
            </w:hyperlink>
          </w:p>
          <w:p>
            <w:pPr/>
            <w:r>
              <w:rPr/>
              <w:t xml:space="preserve">Article dans une revue</w:t>
            </w:r>
          </w:p>
          <w:p>
            <w:pPr/>
            <w:hyperlink r:id="rId14" w:history="1">
              <w:r>
                <w:rPr>
                  <w:color w:val="#410a8c"/>
                  <w:u w:val="single"/>
                </w:rPr>
                <w:t xml:space="preserve">hal-04058400v1</w:t>
              </w:r>
            </w:hyperlink>
          </w:p>
        </w:tc>
      </w:tr>
      <w:tr>
        <w:trPr/>
        <w:tc>
          <w:tcPr>
            <w:noWrap/>
          </w:tcPr>
          <w:p>
            <w:pPr>
              <w:spacing w:after="200"/>
            </w:pPr>
            <w:hyperlink r:id="rId16" w:history="1">
              <w:r>
                <w:rPr>
                  <w:color w:val="1e198e"/>
                  <w:b w:val="1"/>
                  <w:bCs w:val="1"/>
                  <w:u w:val="single"/>
                </w:rPr>
                <w:t xml:space="preserve">Sang et hérédité au Moyen Âge : modèle biologique et modèle social. Albert le Grand et Balde</w:t>
              </w:r>
            </w:hyperlink>
          </w:p>
          <w:p>
            <w:pPr/>
            <w:hyperlink r:id="rId10" w:history="1">
              <w:r>
                <w:rPr>
                  <w:color w:val="#410a8c"/>
                  <w:u w:val="single"/>
                </w:rPr>
                <w:t xml:space="preserve">Charles de Miramon</w:t>
              </w:r>
            </w:hyperlink>
            <w:r>
              <w:rPr/>
              <w:t xml:space="preserve">,</w:t>
            </w:r>
            <w:hyperlink r:id="rId12" w:history="1">
              <w:r>
                <w:rPr>
                  <w:color w:val="#410a8c"/>
                  <w:u w:val="single"/>
                </w:rPr>
                <w:t xml:space="preserve">Maaike van der Lugt</w:t>
              </w:r>
            </w:hyperlink>
          </w:p>
          <w:p>
            <w:pPr/>
            <w:r>
              <w:rPr>
                <w:i w:val="1"/>
                <w:iCs w:val="1"/>
              </w:rPr>
              <w:t xml:space="preserve">Annales de démographie historique</w:t>
            </w:r>
            <w:r>
              <w:rPr/>
              <w:t xml:space="preserve">, 2019, Les lois du sang, 137, pp.21-48. </w:t>
            </w:r>
            <w:hyperlink r:id="rId17" w:history="1">
              <w:r>
                <w:rPr>
                  <w:color w:val="#410a8c"/>
                  <w:u w:val="single"/>
                </w:rPr>
                <w:t xml:space="preserve">⟨10.3917/adh.137.0021⟩</w:t>
              </w:r>
            </w:hyperlink>
          </w:p>
          <w:p>
            <w:pPr/>
            <w:r>
              <w:rPr/>
              <w:t xml:space="preserve">Article dans une revue</w:t>
            </w:r>
          </w:p>
          <w:p>
            <w:pPr/>
            <w:hyperlink r:id="rId16" w:history="1">
              <w:r>
                <w:rPr>
                  <w:color w:val="#410a8c"/>
                  <w:u w:val="single"/>
                </w:rPr>
                <w:t xml:space="preserve">hal-04215468v1</w:t>
              </w:r>
            </w:hyperlink>
          </w:p>
        </w:tc>
      </w:tr>
      <w:tr>
        <w:trPr/>
        <w:tc>
          <w:tcPr>
            <w:noWrap/>
          </w:tcPr>
          <w:p>
            <w:pPr>
              <w:spacing w:after="200"/>
            </w:pPr>
            <w:hyperlink r:id="rId18" w:history="1">
              <w:r>
                <w:rPr>
                  <w:color w:val="1e198e"/>
                  <w:b w:val="1"/>
                  <w:bCs w:val="1"/>
                  <w:u w:val="single"/>
                </w:rPr>
                <w:t xml:space="preserve">Customary Law, Legal Consciousness and Local Agency. From Sumatra to Beauvais circa 1100 and back</w:t>
              </w:r>
            </w:hyperlink>
          </w:p>
          <w:p>
            <w:pPr/>
            <w:hyperlink r:id="rId10" w:history="1">
              <w:r>
                <w:rPr>
                  <w:color w:val="#410a8c"/>
                  <w:u w:val="single"/>
                </w:rPr>
                <w:t xml:space="preserve">Charles de Miramon</w:t>
              </w:r>
            </w:hyperlink>
          </w:p>
          <w:p>
            <w:pPr/>
            <w:r>
              <w:rPr>
                <w:i w:val="1"/>
                <w:iCs w:val="1"/>
              </w:rPr>
              <w:t xml:space="preserve">Rechtsgeschichte - Legal History. Journal of the Max Planck Institute for European Legal History</w:t>
            </w:r>
            <w:r>
              <w:rPr/>
              <w:t xml:space="preserve">, 2016, 2016 (24), </w:t>
            </w:r>
            <w:hyperlink r:id="rId19" w:history="1">
              <w:r>
                <w:rPr>
                  <w:color w:val="#410a8c"/>
                  <w:u w:val="single"/>
                </w:rPr>
                <w:t xml:space="preserve">⟨10.12946/rg24/266-275⟩</w:t>
              </w:r>
            </w:hyperlink>
          </w:p>
          <w:p>
            <w:pPr/>
            <w:r>
              <w:rPr/>
              <w:t xml:space="preserve">Article dans une revue</w:t>
            </w:r>
          </w:p>
          <w:p>
            <w:pPr/>
            <w:hyperlink r:id="rId18" w:history="1">
              <w:r>
                <w:rPr>
                  <w:color w:val="#410a8c"/>
                  <w:u w:val="single"/>
                </w:rPr>
                <w:t xml:space="preserve">halshs-01360007v1</w:t>
              </w:r>
            </w:hyperlink>
          </w:p>
        </w:tc>
      </w:tr>
      <w:tr>
        <w:trPr/>
        <w:tc>
          <w:tcPr>
            <w:noWrap/>
          </w:tcPr>
          <w:p>
            <w:pPr>
              <w:spacing w:after="200"/>
            </w:pPr>
            <w:hyperlink r:id="rId20" w:history="1">
              <w:r>
                <w:rPr>
                  <w:color w:val="1e198e"/>
                  <w:b w:val="1"/>
                  <w:bCs w:val="1"/>
                  <w:u w:val="single"/>
                </w:rPr>
                <w:t xml:space="preserve">L'invention du mot 'race' et le courant héréditaire médiéval</w:t>
              </w:r>
            </w:hyperlink>
          </w:p>
          <w:p>
            <w:pPr/>
            <w:hyperlink r:id="rId10" w:history="1">
              <w:r>
                <w:rPr>
                  <w:color w:val="#410a8c"/>
                  <w:u w:val="single"/>
                </w:rPr>
                <w:t xml:space="preserve">Charles de Miramon</w:t>
              </w:r>
            </w:hyperlink>
          </w:p>
          <w:p>
            <w:pPr/>
            <w:r>
              <w:rPr>
                <w:i w:val="1"/>
                <w:iCs w:val="1"/>
              </w:rPr>
              <w:t xml:space="preserve">Diversités</w:t>
            </w:r>
            <w:r>
              <w:rPr/>
              <w:t xml:space="preserve">, 2012, 168, pp.44--49</w:t>
            </w:r>
          </w:p>
          <w:p>
            <w:pPr/>
            <w:r>
              <w:rPr/>
              <w:t xml:space="preserve">Article dans une revue</w:t>
            </w:r>
          </w:p>
          <w:p>
            <w:pPr/>
            <w:hyperlink r:id="rId20" w:history="1">
              <w:r>
                <w:rPr>
                  <w:color w:val="#410a8c"/>
                  <w:u w:val="single"/>
                </w:rPr>
                <w:t xml:space="preserve">hal-00925793v1</w:t>
              </w:r>
            </w:hyperlink>
          </w:p>
        </w:tc>
      </w:tr>
      <w:tr>
        <w:trPr/>
        <w:tc>
          <w:tcPr>
            <w:noWrap/>
          </w:tcPr>
          <w:p>
            <w:pPr>
              <w:spacing w:after="200"/>
            </w:pPr>
            <w:hyperlink r:id="rId21" w:history="1">
              <w:r>
                <w:rPr>
                  <w:color w:val="1e198e"/>
                  <w:b w:val="1"/>
                  <w:bCs w:val="1"/>
                  <w:u w:val="single"/>
                </w:rPr>
                <w:t xml:space="preserve">Peut-on comparer Moyen Âge occidental et États-Unis contemporains ? Une anthropologie décentrée de la séduction amoureuse</w:t>
              </w:r>
            </w:hyperlink>
          </w:p>
          <w:p>
            <w:pPr/>
            <w:hyperlink r:id="rId10" w:history="1">
              <w:r>
                <w:rPr>
                  <w:color w:val="#410a8c"/>
                  <w:u w:val="single"/>
                </w:rPr>
                <w:t xml:space="preserve">Charles de Miramon</w:t>
              </w:r>
            </w:hyperlink>
          </w:p>
          <w:p>
            <w:pPr/>
            <w:r>
              <w:rPr>
                <w:i w:val="1"/>
                <w:iCs w:val="1"/>
              </w:rPr>
              <w:t xml:space="preserve">Genèses. Sciences sociales et histoire</w:t>
            </w:r>
            <w:r>
              <w:rPr/>
              <w:t xml:space="preserve">, 2012, 4 (89), pp.128-147</w:t>
            </w:r>
          </w:p>
          <w:p>
            <w:pPr/>
            <w:r>
              <w:rPr/>
              <w:t xml:space="preserve">Article dans une revue</w:t>
            </w:r>
          </w:p>
          <w:p>
            <w:pPr/>
            <w:hyperlink r:id="rId21" w:history="1">
              <w:r>
                <w:rPr>
                  <w:color w:val="#410a8c"/>
                  <w:u w:val="single"/>
                </w:rPr>
                <w:t xml:space="preserve">hal-00925787v1</w:t>
              </w:r>
            </w:hyperlink>
          </w:p>
        </w:tc>
      </w:tr>
      <w:tr>
        <w:trPr/>
        <w:tc>
          <w:tcPr>
            <w:noWrap/>
          </w:tcPr>
          <w:p>
            <w:pPr>
              <w:spacing w:after="200"/>
            </w:pPr>
            <w:hyperlink r:id="rId22" w:history="1">
              <w:r>
                <w:rPr>
                  <w:color w:val="1e198e"/>
                  <w:b w:val="1"/>
                  <w:bCs w:val="1"/>
                  <w:u w:val="single"/>
                </w:rPr>
                <w:t xml:space="preserve">Embrasser L'État Monastique a L'Age Adulte (1050-1200). Étude sur la conversion tardive</w:t>
              </w:r>
            </w:hyperlink>
          </w:p>
          <w:p>
            <w:pPr/>
            <w:hyperlink r:id="rId10" w:history="1">
              <w:r>
                <w:rPr>
                  <w:color w:val="#410a8c"/>
                  <w:u w:val="single"/>
                </w:rPr>
                <w:t xml:space="preserve">Charles de Miramon</w:t>
              </w:r>
            </w:hyperlink>
          </w:p>
          <w:p>
            <w:pPr/>
            <w:r>
              <w:rPr>
                <w:i w:val="1"/>
                <w:iCs w:val="1"/>
              </w:rPr>
              <w:t xml:space="preserve">Les Annales. Histoire, sciences sociales</w:t>
            </w:r>
            <w:r>
              <w:rPr/>
              <w:t xml:space="preserve">, 1999, 54 (4), pp.825 - 849. </w:t>
            </w:r>
            <w:hyperlink r:id="rId23" w:history="1">
              <w:r>
                <w:rPr>
                  <w:color w:val="#410a8c"/>
                  <w:u w:val="single"/>
                </w:rPr>
                <w:t xml:space="preserve">⟨10.3406/ahess.1999.279784⟩</w:t>
              </w:r>
            </w:hyperlink>
          </w:p>
          <w:p>
            <w:pPr/>
            <w:r>
              <w:rPr/>
              <w:t xml:space="preserve">Article dans une revue</w:t>
            </w:r>
          </w:p>
          <w:p>
            <w:pPr/>
            <w:hyperlink r:id="rId22" w:history="1">
              <w:r>
                <w:rPr>
                  <w:color w:val="#410a8c"/>
                  <w:u w:val="single"/>
                </w:rPr>
                <w:t xml:space="preserve">hal-04068104v1</w:t>
              </w:r>
            </w:hyperlink>
          </w:p>
        </w:tc>
      </w:tr>
      <w:tr>
        <w:trPr/>
        <w:tc>
          <w:tcPr>
            <w:noWrap/>
          </w:tcPr>
          <w:p>
            <w:pPr>
              <w:spacing w:after="200"/>
            </w:pPr>
            <w:hyperlink r:id="rId24" w:history="1">
              <w:r>
                <w:rPr>
                  <w:color w:val="1e198e"/>
                  <w:b w:val="1"/>
                  <w:bCs w:val="1"/>
                  <w:u w:val="single"/>
                </w:rPr>
                <w:t xml:space="preserve">Les théories du vœu dans le droit canon et la première scolastique</w:t>
              </w:r>
            </w:hyperlink>
          </w:p>
          <w:p>
            <w:pPr/>
            <w:hyperlink r:id="rId10" w:history="1">
              <w:r>
                <w:rPr>
                  <w:color w:val="#410a8c"/>
                  <w:u w:val="single"/>
                </w:rPr>
                <w:t xml:space="preserve">Charles de Miramon</w:t>
              </w:r>
            </w:hyperlink>
          </w:p>
          <w:p>
            <w:pPr/>
            <w:r>
              <w:rPr>
                <w:i w:val="1"/>
                <w:iCs w:val="1"/>
              </w:rPr>
              <w:t xml:space="preserve">Cahiers du Centre de Recherches Historiques</w:t>
            </w:r>
            <w:r>
              <w:rPr/>
              <w:t xml:space="preserve">, 1996, Pour une histoire comparée du vœu, 16, </w:t>
            </w:r>
            <w:hyperlink r:id="rId25" w:history="1">
              <w:r>
                <w:rPr>
                  <w:color w:val="#410a8c"/>
                  <w:u w:val="single"/>
                </w:rPr>
                <w:t xml:space="preserve">⟨10.4000/ccrh.2639⟩</w:t>
              </w:r>
            </w:hyperlink>
          </w:p>
          <w:p>
            <w:pPr/>
            <w:r>
              <w:rPr/>
              <w:t xml:space="preserve">Article dans une revue</w:t>
            </w:r>
          </w:p>
          <w:p>
            <w:pPr/>
            <w:hyperlink r:id="rId24" w:history="1">
              <w:r>
                <w:rPr>
                  <w:color w:val="#410a8c"/>
                  <w:u w:val="single"/>
                </w:rPr>
                <w:t xml:space="preserve">hal-04068094v1</w:t>
              </w:r>
            </w:hyperlink>
          </w:p>
        </w:tc>
      </w:tr>
      <w:tr>
        <w:trPr/>
        <w:tc>
          <w:tcPr>
            <w:noWrap/>
          </w:tcPr>
          <w:p>
            <w:pPr>
              <w:spacing w:after="200"/>
            </w:pPr>
            <w:hyperlink r:id="rId26" w:history="1">
              <w:r>
                <w:rPr>
                  <w:color w:val="1e198e"/>
                  <w:b w:val="1"/>
                  <w:bCs w:val="1"/>
                  <w:u w:val="single"/>
                </w:rPr>
                <w:t xml:space="preserve">Les donnés à Lille au Moyen Age. Une forme de vie religieuse laïque.</w:t>
              </w:r>
            </w:hyperlink>
          </w:p>
          <w:p>
            <w:pPr/>
            <w:hyperlink r:id="rId10" w:history="1">
              <w:r>
                <w:rPr>
                  <w:color w:val="#410a8c"/>
                  <w:u w:val="single"/>
                </w:rPr>
                <w:t xml:space="preserve">Charles de Miramon</w:t>
              </w:r>
            </w:hyperlink>
          </w:p>
          <w:p>
            <w:pPr/>
            <w:r>
              <w:rPr>
                <w:i w:val="1"/>
                <w:iCs w:val="1"/>
              </w:rPr>
              <w:t xml:space="preserve">Revue du Nord</w:t>
            </w:r>
            <w:r>
              <w:rPr/>
              <w:t xml:space="preserve">, 1994, 76 (305), pp.231 - 253. </w:t>
            </w:r>
            <w:hyperlink r:id="rId27" w:history="1">
              <w:r>
                <w:rPr>
                  <w:color w:val="#410a8c"/>
                  <w:u w:val="single"/>
                </w:rPr>
                <w:t xml:space="preserve">⟨10.3406/rnord.1994.4900⟩</w:t>
              </w:r>
            </w:hyperlink>
          </w:p>
          <w:p>
            <w:pPr/>
            <w:r>
              <w:rPr/>
              <w:t xml:space="preserve">Article dans une revue</w:t>
            </w:r>
          </w:p>
          <w:p>
            <w:pPr/>
            <w:hyperlink r:id="rId26" w:history="1">
              <w:r>
                <w:rPr>
                  <w:color w:val="#410a8c"/>
                  <w:u w:val="single"/>
                </w:rPr>
                <w:t xml:space="preserve">hal-04068077v1</w:t>
              </w:r>
            </w:hyperlink>
          </w:p>
        </w:tc>
      </w:tr>
    </w:tbl>
    <w:p>
      <w:pPr>
        <w:spacing w:before="200"/>
      </w:pPr>
    </w:p>
    <w:p>
      <w:pPr>
        <w:pStyle w:val="Heading2"/>
      </w:pPr>
      <w:r>
        <w:rPr>
          <w:color w:val="1e198e"/>
          <w:b w:val="1"/>
          <w:bCs w:val="1"/>
        </w:rPr>
        <w:t xml:space="preserve">Ouvrages (1)</w:t>
      </w:r>
    </w:p>
    <w:p>
      <w:pPr>
        <w:spacing w:after="100"/>
      </w:pPr>
    </w:p>
    <w:tbl>
      <w:tblGrid>
        <w:gridCol/>
      </w:tblGrid>
      <w:tblPr>
        <w:tblW w:w="0" w:type="auto"/>
        <w:tblLayout w:type="autofit"/>
      </w:tblPr>
      <w:tr>
        <w:trPr/>
        <w:tc>
          <w:tcPr>
            <w:noWrap/>
          </w:tcPr>
          <w:p>
            <w:pPr>
              <w:spacing w:after="200"/>
            </w:pPr>
            <w:hyperlink r:id="rId28" w:history="1">
              <w:r>
                <w:rPr>
                  <w:color w:val="1e198e"/>
                  <w:b w:val="1"/>
                  <w:bCs w:val="1"/>
                  <w:u w:val="single"/>
                </w:rPr>
                <w:t xml:space="preserve">La juridicisation de l'Église. Chanoines séculiers et droit canonique (1070-1130)</w:t>
              </w:r>
            </w:hyperlink>
          </w:p>
          <w:p>
            <w:pPr/>
            <w:hyperlink r:id="rId10" w:history="1">
              <w:r>
                <w:rPr>
                  <w:color w:val="#410a8c"/>
                  <w:u w:val="single"/>
                </w:rPr>
                <w:t xml:space="preserve">Charles de Miramon</w:t>
              </w:r>
            </w:hyperlink>
          </w:p>
          <w:p>
            <w:pPr/>
            <w:hyperlink r:id="rId29" w:history="1">
              <w:r>
                <w:rPr>
                  <w:color w:val="#410a8c"/>
                  <w:u w:val="single"/>
                </w:rPr>
                <w:t xml:space="preserve">Belles Lettres</w:t>
              </w:r>
            </w:hyperlink>
            <w:r>
              <w:rPr/>
              <w:t xml:space="preserve">, 2025, 9782251456683</w:t>
            </w:r>
          </w:p>
          <w:p>
            <w:pPr/>
            <w:r>
              <w:rPr/>
              <w:t xml:space="preserve">Ouvrages</w:t>
            </w:r>
          </w:p>
          <w:p>
            <w:pPr/>
            <w:hyperlink r:id="rId28" w:history="1">
              <w:r>
                <w:rPr>
                  <w:color w:val="#410a8c"/>
                  <w:u w:val="single"/>
                </w:rPr>
                <w:t xml:space="preserve">hal-04869833v1</w:t>
              </w:r>
            </w:hyperlink>
          </w:p>
        </w:tc>
      </w:tr>
    </w:tbl>
    <w:p>
      <w:pPr>
        <w:spacing w:before="200"/>
      </w:pPr>
    </w:p>
    <w:p>
      <w:pPr>
        <w:pStyle w:val="Heading2"/>
      </w:pPr>
      <w:r>
        <w:rPr>
          <w:color w:val="1e198e"/>
          <w:b w:val="1"/>
          <w:bCs w:val="1"/>
        </w:rPr>
        <w:t xml:space="preserve">Chapitre d'ouvrage (15)</w:t>
      </w:r>
    </w:p>
    <w:p>
      <w:pPr>
        <w:spacing w:after="100"/>
      </w:pPr>
    </w:p>
    <w:tbl>
      <w:tblGrid>
        <w:gridCol/>
      </w:tblGrid>
      <w:tblPr>
        <w:tblW w:w="0" w:type="auto"/>
        <w:tblLayout w:type="autofit"/>
      </w:tblPr>
      <w:tr>
        <w:trPr/>
        <w:tc>
          <w:tcPr>
            <w:noWrap/>
          </w:tcPr>
          <w:p>
            <w:pPr>
              <w:spacing w:after="200"/>
            </w:pPr>
            <w:hyperlink r:id="rId30" w:history="1">
              <w:r>
                <w:rPr>
                  <w:color w:val="1e198e"/>
                  <w:b w:val="1"/>
                  <w:bCs w:val="1"/>
                  <w:u w:val="single"/>
                </w:rPr>
                <w:t xml:space="preserve">The Wealth of the Church and Its Administration. Ecclesiastical Property, Tithes, Spiritualia</w:t>
              </w:r>
            </w:hyperlink>
          </w:p>
          <w:p>
            <w:pPr/>
            <w:hyperlink r:id="rId31" w:history="1">
              <w:r>
                <w:rPr>
                  <w:color w:val="#410a8c"/>
                  <w:u w:val="single"/>
                </w:rPr>
                <w:t xml:space="preserve">Charles Miramon (de)</w:t>
              </w:r>
            </w:hyperlink>
          </w:p>
          <w:p>
            <w:pPr/>
            <w:r>
              <w:rPr/>
              <w:t xml:space="preserve">Winroth, Anders; Wei, John. </w:t>
            </w:r>
            <w:r>
              <w:rPr>
                <w:i w:val="1"/>
                <w:iCs w:val="1"/>
              </w:rPr>
              <w:t xml:space="preserve">Cambridge History of Medieval Canon Law</w:t>
            </w:r>
            <w:r>
              <w:rPr/>
              <w:t xml:space="preserve">, </w:t>
            </w:r>
            <w:hyperlink r:id="rId32" w:history="1">
              <w:r>
                <w:rPr>
                  <w:color w:val="#410a8c"/>
                  <w:u w:val="single"/>
                </w:rPr>
                <w:t xml:space="preserve">Cambridge University Press</w:t>
              </w:r>
            </w:hyperlink>
            <w:r>
              <w:rPr/>
              <w:t xml:space="preserve">, pp.345-367, 2022, 9781107025042</w:t>
            </w:r>
          </w:p>
          <w:p>
            <w:pPr/>
            <w:r>
              <w:rPr/>
              <w:t xml:space="preserve">Chapitre d'ouvrage</w:t>
            </w:r>
          </w:p>
          <w:p>
            <w:pPr/>
            <w:hyperlink r:id="rId30" w:history="1">
              <w:r>
                <w:rPr>
                  <w:color w:val="#410a8c"/>
                  <w:u w:val="single"/>
                </w:rPr>
                <w:t xml:space="preserve">hal-03829872v1</w:t>
              </w:r>
            </w:hyperlink>
          </w:p>
        </w:tc>
      </w:tr>
      <w:tr>
        <w:trPr/>
        <w:tc>
          <w:tcPr>
            <w:noWrap/>
          </w:tcPr>
          <w:p>
            <w:pPr>
              <w:spacing w:after="200"/>
            </w:pPr>
            <w:hyperlink r:id="rId33" w:history="1">
              <w:r>
                <w:rPr>
                  <w:color w:val="1e198e"/>
                  <w:b w:val="1"/>
                  <w:bCs w:val="1"/>
                  <w:u w:val="single"/>
                </w:rPr>
                <w:t xml:space="preserve">La mutation de l’enseignement du Décret de Gratien à Bologne à la fin du XIIe siècle</w:t>
              </w:r>
            </w:hyperlink>
          </w:p>
          <w:p>
            <w:pPr/>
            <w:hyperlink r:id="rId31" w:history="1">
              <w:r>
                <w:rPr>
                  <w:color w:val="#410a8c"/>
                  <w:u w:val="single"/>
                </w:rPr>
                <w:t xml:space="preserve">Charles Miramon (de)</w:t>
              </w:r>
            </w:hyperlink>
          </w:p>
          <w:p>
            <w:pPr/>
            <w:r>
              <w:rPr/>
              <w:t xml:space="preserve">Roumy, Franck; FLORENCE DEMOULIN-AUZARY; NICOLAS LAURENT-BONNE. </w:t>
            </w:r>
            <w:r>
              <w:rPr>
                <w:i w:val="1"/>
                <w:iCs w:val="1"/>
              </w:rPr>
              <w:t xml:space="preserve">Proceedings of the 15th Congress of Medieval Canon Law</w:t>
            </w:r>
            <w:r>
              <w:rPr/>
              <w:t xml:space="preserve">, 16, Biblioteca Apostolica Vaticana, In press, MONUMENTA IURIS CANONICI, 978-88-210-1095-8</w:t>
            </w:r>
          </w:p>
          <w:p>
            <w:pPr/>
            <w:r>
              <w:rPr/>
              <w:t xml:space="preserve">Chapitre d'ouvrage</w:t>
            </w:r>
          </w:p>
          <w:p>
            <w:pPr/>
            <w:hyperlink r:id="rId33" w:history="1">
              <w:r>
                <w:rPr>
                  <w:color w:val="#410a8c"/>
                  <w:u w:val="single"/>
                </w:rPr>
                <w:t xml:space="preserve">hal-03198849v1</w:t>
              </w:r>
            </w:hyperlink>
          </w:p>
        </w:tc>
      </w:tr>
      <w:tr>
        <w:trPr/>
        <w:tc>
          <w:tcPr>
            <w:noWrap/>
          </w:tcPr>
          <w:p>
            <w:pPr>
              <w:spacing w:after="200"/>
            </w:pPr>
            <w:hyperlink r:id="rId34" w:history="1">
              <w:r>
                <w:rPr>
                  <w:color w:val="1e198e"/>
                  <w:b w:val="1"/>
                  <w:bCs w:val="1"/>
                  <w:u w:val="single"/>
                </w:rPr>
                <w:t xml:space="preserve">Haymon de Bazoches, son Manuel et le droit romain</w:t>
              </w:r>
            </w:hyperlink>
          </w:p>
          <w:p>
            <w:pPr/>
            <w:hyperlink r:id="rId31" w:history="1">
              <w:r>
                <w:rPr>
                  <w:color w:val="#410a8c"/>
                  <w:u w:val="single"/>
                </w:rPr>
                <w:t xml:space="preserve">Charles Miramon (de)</w:t>
              </w:r>
            </w:hyperlink>
          </w:p>
          <w:p>
            <w:pPr/>
            <w:r>
              <w:rPr/>
              <w:t xml:space="preserve">Michèle Bégou-Davia; Florence Demoulin-Auzary; François Jankowiak. </w:t>
            </w:r>
            <w:r>
              <w:rPr>
                <w:i w:val="1"/>
                <w:iCs w:val="1"/>
              </w:rPr>
              <w:t xml:space="preserve">Rerum novarum ac veterum scientia. Mélanges en l’honneur de Brigitte Basdevant-Gaudemet</w:t>
            </w:r>
            <w:r>
              <w:rPr/>
              <w:t xml:space="preserve">, Mare &amp; Martin, pp.925-952, 2020, Collection des Presses Universitaires de Sceaux, 978-2-84934-472-9</w:t>
            </w:r>
          </w:p>
          <w:p>
            <w:pPr/>
            <w:r>
              <w:rPr/>
              <w:t xml:space="preserve">Chapitre d'ouvrage</w:t>
            </w:r>
          </w:p>
          <w:p>
            <w:pPr/>
            <w:hyperlink r:id="rId34" w:history="1">
              <w:r>
                <w:rPr>
                  <w:color w:val="#410a8c"/>
                  <w:u w:val="single"/>
                </w:rPr>
                <w:t xml:space="preserve">hal-02426135v1</w:t>
              </w:r>
            </w:hyperlink>
          </w:p>
        </w:tc>
      </w:tr>
      <w:tr>
        <w:trPr/>
        <w:tc>
          <w:tcPr>
            <w:noWrap/>
          </w:tcPr>
          <w:p>
            <w:pPr>
              <w:spacing w:after="200"/>
            </w:pPr>
            <w:hyperlink r:id="rId35" w:history="1">
              <w:r>
                <w:rPr>
                  <w:color w:val="1e198e"/>
                  <w:b w:val="1"/>
                  <w:bCs w:val="1"/>
                  <w:u w:val="single"/>
                </w:rPr>
                <w:t xml:space="preserve">Y a-t-il un espace public de la Réforme grégorienne ? L’exemple des traités en faveur du mariage des clercs autour de l’année 1075</w:t>
              </w:r>
            </w:hyperlink>
          </w:p>
          <w:p>
            <w:pPr/>
            <w:hyperlink r:id="rId31" w:history="1">
              <w:r>
                <w:rPr>
                  <w:color w:val="#410a8c"/>
                  <w:u w:val="single"/>
                </w:rPr>
                <w:t xml:space="preserve">Charles Miramon (de)</w:t>
              </w:r>
            </w:hyperlink>
          </w:p>
          <w:p>
            <w:pPr/>
            <w:r>
              <w:rPr/>
              <w:t xml:space="preserve">Sère, Bénédicte. </w:t>
            </w:r>
            <w:r>
              <w:rPr>
                <w:i w:val="1"/>
                <w:iCs w:val="1"/>
              </w:rPr>
              <w:t xml:space="preserve">Les régimes de polémicité au Moyen âge</w:t>
            </w:r>
            <w:r>
              <w:rPr/>
              <w:t xml:space="preserve">, PUR, pp.63--71, 2019</w:t>
            </w:r>
          </w:p>
          <w:p>
            <w:pPr/>
            <w:r>
              <w:rPr/>
              <w:t xml:space="preserve">Chapitre d'ouvrage</w:t>
            </w:r>
          </w:p>
          <w:p>
            <w:pPr/>
            <w:hyperlink r:id="rId35" w:history="1">
              <w:r>
                <w:rPr>
                  <w:color w:val="#410a8c"/>
                  <w:u w:val="single"/>
                </w:rPr>
                <w:t xml:space="preserve">halshs-01968245v1</w:t>
              </w:r>
            </w:hyperlink>
          </w:p>
        </w:tc>
      </w:tr>
      <w:tr>
        <w:trPr/>
        <w:tc>
          <w:tcPr>
            <w:noWrap/>
          </w:tcPr>
          <w:p>
            <w:pPr>
              <w:spacing w:after="200"/>
            </w:pPr>
            <w:hyperlink r:id="rId36" w:history="1">
              <w:r>
                <w:rPr>
                  <w:color w:val="1e198e"/>
                  <w:b w:val="1"/>
                  <w:bCs w:val="1"/>
                  <w:u w:val="single"/>
                </w:rPr>
                <w:t xml:space="preserve">L'historien, le caillou et le lac</w:t>
              </w:r>
            </w:hyperlink>
          </w:p>
          <w:p>
            <w:pPr/>
            <w:hyperlink r:id="rId10" w:history="1">
              <w:r>
                <w:rPr>
                  <w:color w:val="#410a8c"/>
                  <w:u w:val="single"/>
                </w:rPr>
                <w:t xml:space="preserve">Charles de Miramon</w:t>
              </w:r>
            </w:hyperlink>
          </w:p>
          <w:p>
            <w:pPr/>
            <w:r>
              <w:rPr/>
              <w:t xml:space="preserve">Delaurenti, Béatrice; Dufal, Blaise; Nagy, Piroska. </w:t>
            </w:r>
            <w:r>
              <w:rPr>
                <w:i w:val="1"/>
                <w:iCs w:val="1"/>
              </w:rPr>
              <w:t xml:space="preserve">L'Historien et les fantômes. Lectures (autour) de l'œuvre d'Alain Boureau</w:t>
            </w:r>
            <w:r>
              <w:rPr/>
              <w:t xml:space="preserve">, 2017, 978-2-251-44703-2</w:t>
            </w:r>
          </w:p>
          <w:p>
            <w:pPr/>
            <w:r>
              <w:rPr/>
              <w:t xml:space="preserve">Chapitre d'ouvrage</w:t>
            </w:r>
          </w:p>
          <w:p>
            <w:pPr/>
            <w:hyperlink r:id="rId36" w:history="1">
              <w:r>
                <w:rPr>
                  <w:color w:val="#410a8c"/>
                  <w:u w:val="single"/>
                </w:rPr>
                <w:t xml:space="preserve">halshs-01529192v1</w:t>
              </w:r>
            </w:hyperlink>
          </w:p>
        </w:tc>
      </w:tr>
      <w:tr>
        <w:trPr/>
        <w:tc>
          <w:tcPr>
            <w:noWrap/>
          </w:tcPr>
          <w:p>
            <w:pPr>
              <w:spacing w:after="200"/>
            </w:pPr>
            <w:hyperlink r:id="rId37" w:history="1">
              <w:r>
                <w:rPr>
                  <w:color w:val="1e198e"/>
                  <w:b w:val="1"/>
                  <w:bCs w:val="1"/>
                  <w:u w:val="single"/>
                </w:rPr>
                <w:t xml:space="preserve">Quatre notes biographiques sur Guillaume de Champeaux</w:t>
              </w:r>
            </w:hyperlink>
          </w:p>
          <w:p>
            <w:pPr/>
            <w:hyperlink r:id="rId10" w:history="1">
              <w:r>
                <w:rPr>
                  <w:color w:val="#410a8c"/>
                  <w:u w:val="single"/>
                </w:rPr>
                <w:t xml:space="preserve">Charles de Miramon</w:t>
              </w:r>
            </w:hyperlink>
          </w:p>
          <w:p>
            <w:pPr/>
            <w:r>
              <w:rPr/>
              <w:t xml:space="preserve">Rosier-Catach Irène. </w:t>
            </w:r>
            <w:r>
              <w:rPr>
                <w:i w:val="1"/>
                <w:iCs w:val="1"/>
              </w:rPr>
              <w:t xml:space="preserve">Arts du langage et théologie aux confins des XIe et XIIe siècle</w:t>
            </w:r>
            <w:r>
              <w:rPr/>
              <w:t xml:space="preserve">, Brepols, pp.45-82, 2011</w:t>
            </w:r>
          </w:p>
          <w:p>
            <w:pPr/>
            <w:r>
              <w:rPr/>
              <w:t xml:space="preserve">Chapitre d'ouvrage</w:t>
            </w:r>
          </w:p>
          <w:p>
            <w:pPr/>
            <w:hyperlink r:id="rId37" w:history="1">
              <w:r>
                <w:rPr>
                  <w:color w:val="#410a8c"/>
                  <w:u w:val="single"/>
                </w:rPr>
                <w:t xml:space="preserve">halshs-00658369v1</w:t>
              </w:r>
            </w:hyperlink>
          </w:p>
        </w:tc>
      </w:tr>
      <w:tr>
        <w:trPr/>
        <w:tc>
          <w:tcPr>
            <w:noWrap/>
          </w:tcPr>
          <w:p>
            <w:pPr>
              <w:spacing w:after="200"/>
            </w:pPr>
            <w:hyperlink r:id="rId38" w:history="1">
              <w:r>
                <w:rPr>
                  <w:color w:val="1e198e"/>
                  <w:b w:val="1"/>
                  <w:bCs w:val="1"/>
                  <w:u w:val="single"/>
                </w:rPr>
                <w:t xml:space="preserve">Le droit coutumier entre juridicisation et identité communautaire. De Sumatra à la France du Nord vers 1100</w:t>
              </w:r>
            </w:hyperlink>
          </w:p>
          <w:p>
            <w:pPr/>
            <w:hyperlink r:id="rId10" w:history="1">
              <w:r>
                <w:rPr>
                  <w:color w:val="#410a8c"/>
                  <w:u w:val="single"/>
                </w:rPr>
                <w:t xml:space="preserve">Charles de Miramon</w:t>
              </w:r>
            </w:hyperlink>
          </w:p>
          <w:p>
            <w:pPr/>
            <w:r>
              <w:rPr/>
              <w:t xml:space="preserve">O. Condorelli, F. Roumy, M. Schmoeckel. </w:t>
            </w:r>
            <w:r>
              <w:rPr>
                <w:i w:val="1"/>
                <w:iCs w:val="1"/>
              </w:rPr>
              <w:t xml:space="preserve">Der Einfluss der Kanonistik auf die europäische Rechtskultur. Bd. 2 Öffentliches Recht.</w:t>
            </w:r>
            <w:r>
              <w:rPr/>
              <w:t xml:space="preserve">, Böhlau, pp.81-114, 2011</w:t>
            </w:r>
          </w:p>
          <w:p>
            <w:pPr/>
            <w:r>
              <w:rPr/>
              <w:t xml:space="preserve">Chapitre d'ouvrage</w:t>
            </w:r>
          </w:p>
          <w:p>
            <w:pPr/>
            <w:hyperlink r:id="rId38" w:history="1">
              <w:r>
                <w:rPr>
                  <w:color w:val="#410a8c"/>
                  <w:u w:val="single"/>
                </w:rPr>
                <w:t xml:space="preserve">halshs-00658055v1</w:t>
              </w:r>
            </w:hyperlink>
          </w:p>
        </w:tc>
      </w:tr>
      <w:tr>
        <w:trPr/>
        <w:tc>
          <w:tcPr>
            <w:noWrap/>
          </w:tcPr>
          <w:p>
            <w:pPr>
              <w:spacing w:after="200"/>
            </w:pPr>
            <w:hyperlink r:id="rId39" w:history="1">
              <w:r>
                <w:rPr>
                  <w:color w:val="1e198e"/>
                  <w:b w:val="1"/>
                  <w:bCs w:val="1"/>
                  <w:u w:val="single"/>
                </w:rPr>
                <w:t xml:space="preserve">Hugues de Saint-Victor et les Spiritualia . Autour de la division entre clercs et laïcs dans le De sacramentis</w:t>
              </w:r>
            </w:hyperlink>
          </w:p>
          <w:p>
            <w:pPr/>
            <w:hyperlink r:id="rId10" w:history="1">
              <w:r>
                <w:rPr>
                  <w:color w:val="#410a8c"/>
                  <w:u w:val="single"/>
                </w:rPr>
                <w:t xml:space="preserve">Charles de Miramon</w:t>
              </w:r>
            </w:hyperlink>
          </w:p>
          <w:p>
            <w:pPr/>
            <w:r>
              <w:rPr/>
              <w:t xml:space="preserve">Dominique Poirel. </w:t>
            </w:r>
            <w:r>
              <w:rPr>
                <w:i w:val="1"/>
                <w:iCs w:val="1"/>
              </w:rPr>
              <w:t xml:space="preserve">L’école de Saint-Victor de Paris</w:t>
            </w:r>
            <w:r>
              <w:rPr/>
              <w:t xml:space="preserve">, 22, </w:t>
            </w:r>
            <w:hyperlink r:id="rId40" w:history="1">
              <w:r>
                <w:rPr>
                  <w:color w:val="#410a8c"/>
                  <w:u w:val="single"/>
                </w:rPr>
                <w:t xml:space="preserve">Brepols Publishers</w:t>
              </w:r>
            </w:hyperlink>
            <w:r>
              <w:rPr/>
              <w:t xml:space="preserve">, pp.299-332, 2010, Bibliotheca Victorina, </w:t>
            </w:r>
            <w:hyperlink r:id="rId41" w:history="1">
              <w:r>
                <w:rPr>
                  <w:color w:val="#410a8c"/>
                  <w:u w:val="single"/>
                </w:rPr>
                <w:t xml:space="preserve">⟨10.1484/M.BV-EB.3.4417⟩</w:t>
              </w:r>
            </w:hyperlink>
          </w:p>
          <w:p>
            <w:pPr/>
            <w:r>
              <w:rPr/>
              <w:t xml:space="preserve">Chapitre d'ouvrage</w:t>
            </w:r>
          </w:p>
          <w:p>
            <w:pPr/>
            <w:hyperlink r:id="rId39" w:history="1">
              <w:r>
                <w:rPr>
                  <w:color w:val="#410a8c"/>
                  <w:u w:val="single"/>
                </w:rPr>
                <w:t xml:space="preserve">hal-04058460v1</w:t>
              </w:r>
            </w:hyperlink>
          </w:p>
        </w:tc>
      </w:tr>
      <w:tr>
        <w:trPr/>
        <w:tc>
          <w:tcPr>
            <w:noWrap/>
          </w:tcPr>
          <w:p>
            <w:pPr>
              <w:spacing w:after="200"/>
            </w:pPr>
            <w:hyperlink r:id="rId42" w:history="1">
              <w:r>
                <w:rPr>
                  <w:color w:val="1e198e"/>
                  <w:b w:val="1"/>
                  <w:bCs w:val="1"/>
                  <w:u w:val="single"/>
                </w:rPr>
                <w:t xml:space="preserve">Réception et oubli de l'Ethica Vetus. Salerne et Bologne (1150 –- 1180)</w:t>
              </w:r>
            </w:hyperlink>
          </w:p>
          <w:p>
            <w:pPr/>
            <w:hyperlink r:id="rId10" w:history="1">
              <w:r>
                <w:rPr>
                  <w:color w:val="#410a8c"/>
                  <w:u w:val="single"/>
                </w:rPr>
                <w:t xml:space="preserve">Charles de Miramon</w:t>
              </w:r>
            </w:hyperlink>
          </w:p>
          <w:p>
            <w:pPr/>
            <w:r>
              <w:rPr/>
              <w:t xml:space="preserve">d'Alteroche, Bernard ; Demoulin-Auzary, Florence ; Descamps, Olivier ; Roumy, Franck. </w:t>
            </w:r>
            <w:r>
              <w:rPr>
                <w:i w:val="1"/>
                <w:iCs w:val="1"/>
              </w:rPr>
              <w:t xml:space="preserve">Mélanges en l'honneur d'Anne Lefebvre-Teillard</w:t>
            </w:r>
            <w:r>
              <w:rPr/>
              <w:t xml:space="preserve">, Éditions Pantheon-Assas, pp.727-746, 2009</w:t>
            </w:r>
          </w:p>
          <w:p>
            <w:pPr/>
            <w:r>
              <w:rPr/>
              <w:t xml:space="preserve">Chapitre d'ouvrage</w:t>
            </w:r>
          </w:p>
          <w:p>
            <w:pPr/>
            <w:hyperlink r:id="rId42" w:history="1">
              <w:r>
                <w:rPr>
                  <w:color w:val="#410a8c"/>
                  <w:u w:val="single"/>
                </w:rPr>
                <w:t xml:space="preserve">halshs-00555606v1</w:t>
              </w:r>
            </w:hyperlink>
          </w:p>
        </w:tc>
      </w:tr>
      <w:tr>
        <w:trPr/>
        <w:tc>
          <w:tcPr>
            <w:noWrap/>
          </w:tcPr>
          <w:p>
            <w:pPr>
              <w:spacing w:after="200"/>
            </w:pPr>
            <w:hyperlink r:id="rId43" w:history="1">
              <w:r>
                <w:rPr>
                  <w:color w:val="1e198e"/>
                  <w:b w:val="1"/>
                  <w:bCs w:val="1"/>
                  <w:u w:val="single"/>
                </w:rPr>
                <w:t xml:space="preserve">Aux origines de la noblesse et des princes du sang. France et Angleterre au XIVe siècle</w:t>
              </w:r>
            </w:hyperlink>
          </w:p>
          <w:p>
            <w:pPr/>
            <w:hyperlink r:id="rId10" w:history="1">
              <w:r>
                <w:rPr>
                  <w:color w:val="#410a8c"/>
                  <w:u w:val="single"/>
                </w:rPr>
                <w:t xml:space="preserve">Charles de Miramon</w:t>
              </w:r>
            </w:hyperlink>
          </w:p>
          <w:p>
            <w:pPr/>
            <w:r>
              <w:rPr/>
              <w:t xml:space="preserve">Maaike van der Lugt; Charles de Miramon. </w:t>
            </w:r>
            <w:r>
              <w:rPr>
                <w:i w:val="1"/>
                <w:iCs w:val="1"/>
              </w:rPr>
              <w:t xml:space="preserve">L'hérédité entre Moyen Âge et Époque moderne. Perspectives historiques</w:t>
            </w:r>
            <w:r>
              <w:rPr/>
              <w:t xml:space="preserve">, </w:t>
            </w:r>
            <w:hyperlink r:id="rId44" w:history="1">
              <w:r>
                <w:rPr>
                  <w:color w:val="#410a8c"/>
                  <w:u w:val="single"/>
                </w:rPr>
                <w:t xml:space="preserve">Sismel Edizioni del Galuzzo</w:t>
              </w:r>
            </w:hyperlink>
            <w:r>
              <w:rPr/>
              <w:t xml:space="preserve">, pp.157--210, 2008, Micrologus' Library, 978-88-8450-309-1</w:t>
            </w:r>
          </w:p>
          <w:p>
            <w:pPr/>
            <w:r>
              <w:rPr/>
              <w:t xml:space="preserve">Chapitre d'ouvrage</w:t>
            </w:r>
          </w:p>
          <w:p>
            <w:pPr/>
            <w:hyperlink r:id="rId43" w:history="1">
              <w:r>
                <w:rPr>
                  <w:color w:val="#410a8c"/>
                  <w:u w:val="single"/>
                </w:rPr>
                <w:t xml:space="preserve">halshs-01278848v1</w:t>
              </w:r>
            </w:hyperlink>
          </w:p>
        </w:tc>
      </w:tr>
      <w:tr>
        <w:trPr/>
        <w:tc>
          <w:tcPr>
            <w:noWrap/>
          </w:tcPr>
          <w:p>
            <w:pPr>
              <w:spacing w:after="200"/>
            </w:pPr>
            <w:hyperlink r:id="rId45" w:history="1">
              <w:r>
                <w:rPr>
                  <w:color w:val="1e198e"/>
                  <w:b w:val="1"/>
                  <w:bCs w:val="1"/>
                  <w:u w:val="single"/>
                </w:rPr>
                <w:t xml:space="preserve">Penser l'hérédité au Moyen Âge: une introduction</w:t>
              </w:r>
            </w:hyperlink>
          </w:p>
          <w:p>
            <w:pPr/>
            <w:hyperlink r:id="rId31" w:history="1">
              <w:r>
                <w:rPr>
                  <w:color w:val="#410a8c"/>
                  <w:u w:val="single"/>
                </w:rPr>
                <w:t xml:space="preserve">Charles Miramon (de)</w:t>
              </w:r>
            </w:hyperlink>
            <w:r>
              <w:rPr/>
              <w:t xml:space="preserve">,</w:t>
            </w:r>
            <w:hyperlink r:id="rId12" w:history="1">
              <w:r>
                <w:rPr>
                  <w:color w:val="#410a8c"/>
                  <w:u w:val="single"/>
                </w:rPr>
                <w:t xml:space="preserve">Maaike van der Lugt</w:t>
              </w:r>
            </w:hyperlink>
          </w:p>
          <w:p>
            <w:pPr/>
            <w:r>
              <w:rPr/>
              <w:t xml:space="preserve">Maaike van der Lugt ; Charles de Miramon. </w:t>
            </w:r>
            <w:r>
              <w:rPr>
                <w:i w:val="1"/>
                <w:iCs w:val="1"/>
              </w:rPr>
              <w:t xml:space="preserve">L'hérédité entre Moyen Âge et Époque moderne. Perspectives historiques.</w:t>
            </w:r>
            <w:r>
              <w:rPr/>
              <w:t xml:space="preserve">, Sismel - Edizioni del Galluzzo, pp.3-37, 2008, Micrologus Library ; 27</w:t>
            </w:r>
          </w:p>
          <w:p>
            <w:pPr/>
            <w:r>
              <w:rPr/>
              <w:t xml:space="preserve">Chapitre d'ouvrage</w:t>
            </w:r>
          </w:p>
          <w:p>
            <w:pPr/>
            <w:hyperlink r:id="rId45" w:history="1">
              <w:r>
                <w:rPr>
                  <w:color w:val="#410a8c"/>
                  <w:u w:val="single"/>
                </w:rPr>
                <w:t xml:space="preserve">halshs-00339425v1</w:t>
              </w:r>
            </w:hyperlink>
          </w:p>
        </w:tc>
      </w:tr>
      <w:tr>
        <w:trPr/>
        <w:tc>
          <w:tcPr>
            <w:noWrap/>
          </w:tcPr>
          <w:p>
            <w:pPr>
              <w:spacing w:after="200"/>
            </w:pPr>
            <w:hyperlink r:id="rId46" w:history="1">
              <w:r>
                <w:rPr>
                  <w:color w:val="1e198e"/>
                  <w:b w:val="1"/>
                  <w:bCs w:val="1"/>
                  <w:u w:val="single"/>
                </w:rPr>
                <w:t xml:space="preserve">Innocent III, Huguccio de Ferrare et Hubert de Pirovano</w:t>
              </w:r>
            </w:hyperlink>
          </w:p>
          <w:p>
            <w:pPr/>
            <w:hyperlink r:id="rId10" w:history="1">
              <w:r>
                <w:rPr>
                  <w:color w:val="#410a8c"/>
                  <w:u w:val="single"/>
                </w:rPr>
                <w:t xml:space="preserve">Charles de Miramon</w:t>
              </w:r>
            </w:hyperlink>
          </w:p>
          <w:p>
            <w:pPr/>
            <w:r>
              <w:rPr/>
              <w:t xml:space="preserve">Mueller, Wolfgang P.; Sommar, Mary E. </w:t>
            </w:r>
            <w:r>
              <w:rPr>
                <w:i w:val="1"/>
                <w:iCs w:val="1"/>
              </w:rPr>
              <w:t xml:space="preserve">Medieval Church Law and the Origins of the Western Legal Tradition. A Tribute to Kenneth Pennington</w:t>
            </w:r>
            <w:r>
              <w:rPr/>
              <w:t xml:space="preserve">, Catholic University of America Press, pp.320--346, 2006, 978-0-8132-1462-7</w:t>
            </w:r>
          </w:p>
          <w:p>
            <w:pPr/>
            <w:r>
              <w:rPr/>
              <w:t xml:space="preserve">Chapitre d'ouvrage</w:t>
            </w:r>
          </w:p>
          <w:p>
            <w:pPr/>
            <w:hyperlink r:id="rId46" w:history="1">
              <w:r>
                <w:rPr>
                  <w:color w:val="#410a8c"/>
                  <w:u w:val="single"/>
                </w:rPr>
                <w:t xml:space="preserve">halshs-01293906v1</w:t>
              </w:r>
            </w:hyperlink>
          </w:p>
        </w:tc>
      </w:tr>
      <w:tr>
        <w:trPr/>
        <w:tc>
          <w:tcPr>
            <w:noWrap/>
          </w:tcPr>
          <w:p>
            <w:pPr>
              <w:spacing w:after="200"/>
            </w:pPr>
            <w:hyperlink r:id="rId47" w:history="1">
              <w:r>
                <w:rPr>
                  <w:color w:val="1e198e"/>
                  <w:b w:val="1"/>
                  <w:bCs w:val="1"/>
                  <w:u w:val="single"/>
                </w:rPr>
                <w:t xml:space="preserve">La guerre des récits : autour des « moniages » du XII siècle</w:t>
              </w:r>
            </w:hyperlink>
          </w:p>
          <w:p>
            <w:pPr/>
            <w:hyperlink r:id="rId10" w:history="1">
              <w:r>
                <w:rPr>
                  <w:color w:val="#410a8c"/>
                  <w:u w:val="single"/>
                </w:rPr>
                <w:t xml:space="preserve">Charles de Miramon</w:t>
              </w:r>
            </w:hyperlink>
          </w:p>
          <w:p>
            <w:pPr/>
            <w:r>
              <w:rPr/>
              <w:t xml:space="preserve">Lauwers, Michel. </w:t>
            </w:r>
            <w:r>
              <w:rPr>
                <w:i w:val="1"/>
                <w:iCs w:val="1"/>
              </w:rPr>
              <w:t xml:space="preserve">Guerriers et Moines. Conversion et sainteté aristocratiques dans l'Occident médiéval</w:t>
            </w:r>
            <w:r>
              <w:rPr/>
              <w:t xml:space="preserve">, APDCA, pp.589-636, 2002, 2-904110-35-6</w:t>
            </w:r>
          </w:p>
          <w:p>
            <w:pPr/>
            <w:r>
              <w:rPr/>
              <w:t xml:space="preserve">Chapitre d'ouvrage</w:t>
            </w:r>
          </w:p>
          <w:p>
            <w:pPr/>
            <w:hyperlink r:id="rId47" w:history="1">
              <w:r>
                <w:rPr>
                  <w:color w:val="#410a8c"/>
                  <w:u w:val="single"/>
                </w:rPr>
                <w:t xml:space="preserve">halshs-01110257v1</w:t>
              </w:r>
            </w:hyperlink>
          </w:p>
        </w:tc>
      </w:tr>
      <w:tr>
        <w:trPr/>
        <w:tc>
          <w:tcPr>
            <w:noWrap/>
          </w:tcPr>
          <w:p>
            <w:pPr>
              <w:spacing w:after="200"/>
            </w:pPr>
            <w:hyperlink r:id="rId48" w:history="1">
              <w:r>
                <w:rPr>
                  <w:color w:val="1e198e"/>
                  <w:b w:val="1"/>
                  <w:bCs w:val="1"/>
                  <w:u w:val="single"/>
                </w:rPr>
                <w:t xml:space="preserve">La fin d'un tabou ? L'interdiction de communier pour la femme menstruée au Moyen Âge. Le cas du XIIe siècle</w:t>
              </w:r>
            </w:hyperlink>
          </w:p>
          <w:p>
            <w:pPr/>
            <w:hyperlink r:id="rId10" w:history="1">
              <w:r>
                <w:rPr>
                  <w:color w:val="#410a8c"/>
                  <w:u w:val="single"/>
                </w:rPr>
                <w:t xml:space="preserve">Charles de Miramon</w:t>
              </w:r>
            </w:hyperlink>
          </w:p>
          <w:p>
            <w:pPr/>
            <w:r>
              <w:rPr>
                <w:i w:val="1"/>
                <w:iCs w:val="1"/>
              </w:rPr>
              <w:t xml:space="preserve">Le sang au Moyen Âge</w:t>
            </w:r>
            <w:r>
              <w:rPr/>
              <w:t xml:space="preserve">, Université Paul-Valéry, pp.163--181, 1999, Cahiers du CRISIMA ; 4</w:t>
            </w:r>
          </w:p>
          <w:p>
            <w:pPr/>
            <w:r>
              <w:rPr/>
              <w:t xml:space="preserve">Chapitre d'ouvrage</w:t>
            </w:r>
          </w:p>
          <w:p>
            <w:pPr/>
            <w:hyperlink r:id="rId48" w:history="1">
              <w:r>
                <w:rPr>
                  <w:color w:val="#410a8c"/>
                  <w:u w:val="single"/>
                </w:rPr>
                <w:t xml:space="preserve">halshs-00780023v1</w:t>
              </w:r>
            </w:hyperlink>
          </w:p>
        </w:tc>
      </w:tr>
      <w:tr>
        <w:trPr/>
        <w:tc>
          <w:tcPr>
            <w:noWrap/>
          </w:tcPr>
          <w:p>
            <w:pPr>
              <w:spacing w:after="200"/>
            </w:pPr>
            <w:hyperlink r:id="rId49" w:history="1">
              <w:r>
                <w:rPr>
                  <w:color w:val="1e198e"/>
                  <w:b w:val="1"/>
                  <w:bCs w:val="1"/>
                  <w:u w:val="single"/>
                </w:rPr>
                <w:t xml:space="preserve">Déconstrution et reconstruction du tabou de la femme menstruée XIIe -- XIIIe siècle</w:t>
              </w:r>
            </w:hyperlink>
          </w:p>
          <w:p>
            <w:pPr/>
            <w:hyperlink r:id="rId10" w:history="1">
              <w:r>
                <w:rPr>
                  <w:color w:val="#410a8c"/>
                  <w:u w:val="single"/>
                </w:rPr>
                <w:t xml:space="preserve">Charles de Miramon</w:t>
              </w:r>
            </w:hyperlink>
          </w:p>
          <w:p>
            <w:pPr/>
            <w:r>
              <w:rPr/>
              <w:t xml:space="preserve">A. Thier, G. Pfeifer, P. Grzimek. </w:t>
            </w:r>
            <w:r>
              <w:rPr>
                <w:i w:val="1"/>
                <w:iCs w:val="1"/>
              </w:rPr>
              <w:t xml:space="preserve">Kontinuitäten und Zäsuren in der Europäisschen Rechtsgeschichte, Europäisches Forum Junger Rechtshistorikerinnen und Rechtshistoriker, München 22.-24. Juli 1998,</w:t>
            </w:r>
            <w:r>
              <w:rPr/>
              <w:t xml:space="preserve">, Peter Lang, pp.79-107, 1999, Rechtshistorische Reihe ; 196</w:t>
            </w:r>
          </w:p>
          <w:p>
            <w:pPr/>
            <w:r>
              <w:rPr/>
              <w:t xml:space="preserve">Chapitre d'ouvrage</w:t>
            </w:r>
          </w:p>
          <w:p>
            <w:pPr/>
            <w:hyperlink r:id="rId49" w:history="1">
              <w:r>
                <w:rPr>
                  <w:color w:val="#410a8c"/>
                  <w:u w:val="single"/>
                </w:rPr>
                <w:t xml:space="preserve">halshs-00776036v1</w:t>
              </w:r>
            </w:hyperlink>
          </w:p>
        </w:tc>
      </w:tr>
    </w:tbl>
    <w:p>
      <w:pPr>
        <w:spacing w:before="200"/>
      </w:pPr>
    </w:p>
    <w:p>
      <w:pPr>
        <w:pStyle w:val="Heading2"/>
      </w:pPr>
      <w:r>
        <w:rPr>
          <w:color w:val="1e198e"/>
          <w:b w:val="1"/>
          <w:bCs w:val="1"/>
        </w:rPr>
        <w:t xml:space="preserve">Pré-publication, Document de travail (1)</w:t>
      </w:r>
    </w:p>
    <w:p>
      <w:pPr>
        <w:spacing w:after="100"/>
      </w:pPr>
    </w:p>
    <w:tbl>
      <w:tblGrid>
        <w:gridCol/>
      </w:tblGrid>
      <w:tblPr>
        <w:tblW w:w="0" w:type="auto"/>
        <w:tblLayout w:type="autofit"/>
      </w:tblPr>
      <w:tr>
        <w:trPr/>
        <w:tc>
          <w:tcPr>
            <w:noWrap/>
          </w:tcPr>
          <w:p>
            <w:pPr>
              <w:spacing w:after="200"/>
            </w:pPr>
            <w:hyperlink r:id="rId50" w:history="1">
              <w:r>
                <w:rPr>
                  <w:color w:val="1e198e"/>
                  <w:b w:val="1"/>
                  <w:bCs w:val="1"/>
                  <w:u w:val="single"/>
                </w:rPr>
                <w:t xml:space="preserve">L'invention de la Réforme grégorienne : Grégoire VII au XIXe siècle Entre pouvoir spirituel et bureaucratisation de l'Église</w:t>
              </w:r>
            </w:hyperlink>
          </w:p>
          <w:p>
            <w:pPr/>
            <w:hyperlink r:id="rId10" w:history="1">
              <w:r>
                <w:rPr>
                  <w:color w:val="#410a8c"/>
                  <w:u w:val="single"/>
                </w:rPr>
                <w:t xml:space="preserve">Charles de Miramon</w:t>
              </w:r>
            </w:hyperlink>
          </w:p>
          <w:p>
            <w:pPr/>
            <w:r>
              <w:rPr/>
              <w:t xml:space="preserve">2017</w:t>
            </w:r>
          </w:p>
          <w:p>
            <w:pPr/>
            <w:r>
              <w:rPr/>
              <w:t xml:space="preserve">Pré-publication, Document de travail</w:t>
            </w:r>
          </w:p>
          <w:p>
            <w:pPr/>
            <w:hyperlink r:id="rId50" w:history="1">
              <w:r>
                <w:rPr>
                  <w:color w:val="#410a8c"/>
                  <w:u w:val="single"/>
                </w:rPr>
                <w:t xml:space="preserve">halshs-01522071v1</w:t>
              </w:r>
            </w:hyperlink>
          </w:p>
        </w:tc>
      </w:tr>
    </w:tbl>
    <w:p>
      <w:pPr>
        <w:spacing w:before="200"/>
      </w:pPr>
    </w:p>
    <w:p>
      <w:pPr>
        <w:pStyle w:val="Heading2"/>
      </w:pPr>
      <w:r>
        <w:rPr>
          <w:color w:val="1e198e"/>
          <w:b w:val="1"/>
          <w:bCs w:val="1"/>
        </w:rPr>
        <w:t xml:space="preserve">Notice d’encyclopédie ou de dictionnaire (2)</w:t>
      </w:r>
    </w:p>
    <w:p>
      <w:pPr>
        <w:spacing w:after="100"/>
      </w:pPr>
    </w:p>
    <w:tbl>
      <w:tblGrid>
        <w:gridCol/>
      </w:tblGrid>
      <w:tblPr>
        <w:tblW w:w="0" w:type="auto"/>
        <w:tblLayout w:type="autofit"/>
      </w:tblPr>
      <w:tr>
        <w:trPr/>
        <w:tc>
          <w:tcPr>
            <w:noWrap/>
          </w:tcPr>
          <w:p>
            <w:pPr>
              <w:spacing w:after="200"/>
            </w:pPr>
            <w:hyperlink r:id="rId51" w:history="1">
              <w:r>
                <w:rPr>
                  <w:color w:val="1e198e"/>
                  <w:b w:val="1"/>
                  <w:bCs w:val="1"/>
                  <w:u w:val="single"/>
                </w:rPr>
                <w:t xml:space="preserve">Droit</w:t>
              </w:r>
            </w:hyperlink>
          </w:p>
          <w:p>
            <w:pPr/>
            <w:hyperlink r:id="rId10" w:history="1">
              <w:r>
                <w:rPr>
                  <w:color w:val="#410a8c"/>
                  <w:u w:val="single"/>
                </w:rPr>
                <w:t xml:space="preserve">Charles de Miramon</w:t>
              </w:r>
            </w:hyperlink>
            <w:r>
              <w:rPr/>
              <w:t xml:space="preserve">,</w:t>
            </w:r>
            <w:hyperlink r:id="rId52" w:history="1">
              <w:r>
                <w:rPr>
                  <w:color w:val="#410a8c"/>
                  <w:u w:val="single"/>
                </w:rPr>
                <w:t xml:space="preserve">Raphaël Eckert</w:t>
              </w:r>
            </w:hyperlink>
            <w:r>
              <w:rPr/>
              <w:t xml:space="preserve">,</w:t>
            </w:r>
            <w:hyperlink r:id="rId53" w:history="1">
              <w:r>
                <w:rPr>
                  <w:color w:val="#410a8c"/>
                  <w:u w:val="single"/>
                </w:rPr>
                <w:t xml:space="preserve">Carlo Fantappié</w:t>
              </w:r>
            </w:hyperlink>
            <w:r>
              <w:rPr/>
              <w:t xml:space="preserve">,</w:t>
            </w:r>
            <w:hyperlink r:id="rId54" w:history="1">
              <w:r>
                <w:rPr>
                  <w:color w:val="#410a8c"/>
                  <w:u w:val="single"/>
                </w:rPr>
                <w:t xml:space="preserve">Arnaud Fossier</w:t>
              </w:r>
            </w:hyperlink>
            <w:r>
              <w:rPr/>
              <w:t xml:space="preserve">,</w:t>
            </w:r>
            <w:hyperlink r:id="rId55" w:history="1">
              <w:r>
                <w:rPr>
                  <w:color w:val="#410a8c"/>
                  <w:u w:val="single"/>
                </w:rPr>
                <w:t xml:space="preserve">Mogens Laerke</w:t>
              </w:r>
            </w:hyperlink>
            <w:r>
              <w:rPr/>
              <w:t xml:space="preserve">et al.</w:t>
            </w:r>
          </w:p>
          <w:p>
            <w:pPr/>
            <w:r>
              <w:rPr>
                <w:i w:val="1"/>
                <w:iCs w:val="1"/>
              </w:rPr>
              <w:t xml:space="preserve">Dictionnaire critique de l'Église</w:t>
            </w:r>
            <w:r>
              <w:rPr/>
              <w:t xml:space="preserve">, 2023, pp.289-303</w:t>
            </w:r>
          </w:p>
          <w:p>
            <w:pPr/>
            <w:r>
              <w:rPr/>
              <w:t xml:space="preserve">Notice d’encyclopédie ou de dictionnaire</w:t>
            </w:r>
          </w:p>
          <w:p>
            <w:pPr/>
            <w:hyperlink r:id="rId51" w:history="1">
              <w:r>
                <w:rPr>
                  <w:color w:val="#410a8c"/>
                  <w:u w:val="single"/>
                </w:rPr>
                <w:t xml:space="preserve">hal-04254757v1</w:t>
              </w:r>
            </w:hyperlink>
          </w:p>
        </w:tc>
      </w:tr>
      <w:tr>
        <w:trPr/>
        <w:tc>
          <w:tcPr>
            <w:noWrap/>
          </w:tcPr>
          <w:p>
            <w:pPr>
              <w:spacing w:after="200"/>
            </w:pPr>
            <w:hyperlink r:id="rId56" w:history="1">
              <w:r>
                <w:rPr>
                  <w:color w:val="1e198e"/>
                  <w:b w:val="1"/>
                  <w:bCs w:val="1"/>
                  <w:u w:val="single"/>
                </w:rPr>
                <w:t xml:space="preserve">Temporel</w:t>
              </w:r>
            </w:hyperlink>
          </w:p>
          <w:p>
            <w:pPr/>
            <w:hyperlink r:id="rId10" w:history="1">
              <w:r>
                <w:rPr>
                  <w:color w:val="#410a8c"/>
                  <w:u w:val="single"/>
                </w:rPr>
                <w:t xml:space="preserve">Charles de Miramon</w:t>
              </w:r>
            </w:hyperlink>
            <w:r>
              <w:rPr/>
              <w:t xml:space="preserve">,</w:t>
            </w:r>
            <w:hyperlink r:id="rId57" w:history="1">
              <w:r>
                <w:rPr>
                  <w:color w:val="#410a8c"/>
                  <w:u w:val="single"/>
                </w:rPr>
                <w:t xml:space="preserve">Dominique Iogna-Prat</w:t>
              </w:r>
            </w:hyperlink>
            <w:r>
              <w:rPr/>
              <w:t xml:space="preserve">,</w:t>
            </w:r>
            <w:hyperlink r:id="rId58" w:history="1">
              <w:r>
                <w:rPr>
                  <w:color w:val="#410a8c"/>
                  <w:u w:val="single"/>
                </w:rPr>
                <w:t xml:space="preserve">Dominic Moreau</w:t>
              </w:r>
            </w:hyperlink>
            <w:r>
              <w:rPr/>
              <w:t xml:space="preserve">,</w:t>
            </w:r>
            <w:hyperlink r:id="rId59" w:history="1">
              <w:r>
                <w:rPr>
                  <w:color w:val="#410a8c"/>
                  <w:u w:val="single"/>
                </w:rPr>
                <w:t xml:space="preserve">Jean-Marc Ticchi</w:t>
              </w:r>
            </w:hyperlink>
          </w:p>
          <w:p>
            <w:pPr/>
            <w:r>
              <w:rPr>
                <w:i w:val="1"/>
                <w:iCs w:val="1"/>
              </w:rPr>
              <w:t xml:space="preserve">Dictionnaire critique de l'Église</w:t>
            </w:r>
            <w:r>
              <w:rPr/>
              <w:t xml:space="preserve">, 2023, pp.1055-1067</w:t>
            </w:r>
          </w:p>
          <w:p>
            <w:pPr/>
            <w:r>
              <w:rPr/>
              <w:t xml:space="preserve">Notice d’encyclopédie ou de dictionnaire</w:t>
            </w:r>
          </w:p>
          <w:p>
            <w:pPr/>
            <w:hyperlink r:id="rId56" w:history="1">
              <w:r>
                <w:rPr>
                  <w:color w:val="#410a8c"/>
                  <w:u w:val="single"/>
                </w:rPr>
                <w:t xml:space="preserve">hal-04210027v1</w:t>
              </w:r>
            </w:hyperlink>
          </w:p>
        </w:tc>
      </w:tr>
    </w:tbl>
    <w:sectPr>
      <w:footerReference w:type="default" r:id="rId60"/>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E64CF3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charles-de-miramon" TargetMode="External"/><Relationship Id="rId8" Type="http://schemas.openxmlformats.org/officeDocument/2006/relationships/hyperlink" Target="https://www.idref.fr/049598473" TargetMode="External"/><Relationship Id="rId9" Type="http://schemas.openxmlformats.org/officeDocument/2006/relationships/hyperlink" Target="https://hal.science/hal-05513004v1" TargetMode="External"/><Relationship Id="rId10" Type="http://schemas.openxmlformats.org/officeDocument/2006/relationships/hyperlink" Target="https://hal.science/search/index/?q=*&amp;authFullName_s=Charles de Miramon" TargetMode="External"/><Relationship Id="rId11" Type="http://schemas.openxmlformats.org/officeDocument/2006/relationships/hyperlink" Target="https://hal.science/hal-04068006v1" TargetMode="External"/><Relationship Id="rId12" Type="http://schemas.openxmlformats.org/officeDocument/2006/relationships/hyperlink" Target="https://hal.science/search/index/?q=*&amp;authFullName_s=Maaike van der Lugt" TargetMode="External"/><Relationship Id="rId13" Type="http://schemas.openxmlformats.org/officeDocument/2006/relationships/hyperlink" Target="https://dx.doi.org/10.3917/droit.076.0031" TargetMode="External"/><Relationship Id="rId14" Type="http://schemas.openxmlformats.org/officeDocument/2006/relationships/hyperlink" Target="https://hal.science/hal-04058400v1" TargetMode="External"/><Relationship Id="rId15" Type="http://schemas.openxmlformats.org/officeDocument/2006/relationships/hyperlink" Target="https://dx.doi.org/10.4000/theoremes.11427" TargetMode="External"/><Relationship Id="rId16" Type="http://schemas.openxmlformats.org/officeDocument/2006/relationships/hyperlink" Target="https://hal.science/hal-04215468v1" TargetMode="External"/><Relationship Id="rId17" Type="http://schemas.openxmlformats.org/officeDocument/2006/relationships/hyperlink" Target="https://dx.doi.org/10.3917/adh.137.0021" TargetMode="External"/><Relationship Id="rId18" Type="http://schemas.openxmlformats.org/officeDocument/2006/relationships/hyperlink" Target="https://shs.hal.science/halshs-01360007v1" TargetMode="External"/><Relationship Id="rId19" Type="http://schemas.openxmlformats.org/officeDocument/2006/relationships/hyperlink" Target="https://dx.doi.org/10.12946/rg24/266-275" TargetMode="External"/><Relationship Id="rId20" Type="http://schemas.openxmlformats.org/officeDocument/2006/relationships/hyperlink" Target="https://hal.science/hal-00925793v1" TargetMode="External"/><Relationship Id="rId21" Type="http://schemas.openxmlformats.org/officeDocument/2006/relationships/hyperlink" Target="https://hal.science/hal-00925787v1" TargetMode="External"/><Relationship Id="rId22" Type="http://schemas.openxmlformats.org/officeDocument/2006/relationships/hyperlink" Target="https://hal.science/hal-04068104v1" TargetMode="External"/><Relationship Id="rId23" Type="http://schemas.openxmlformats.org/officeDocument/2006/relationships/hyperlink" Target="https://dx.doi.org/10.3406/ahess.1999.279784" TargetMode="External"/><Relationship Id="rId24" Type="http://schemas.openxmlformats.org/officeDocument/2006/relationships/hyperlink" Target="https://hal.science/hal-04068094v1" TargetMode="External"/><Relationship Id="rId25" Type="http://schemas.openxmlformats.org/officeDocument/2006/relationships/hyperlink" Target="https://dx.doi.org/10.4000/ccrh.2639" TargetMode="External"/><Relationship Id="rId26" Type="http://schemas.openxmlformats.org/officeDocument/2006/relationships/hyperlink" Target="https://hal.science/hal-04068077v1" TargetMode="External"/><Relationship Id="rId27" Type="http://schemas.openxmlformats.org/officeDocument/2006/relationships/hyperlink" Target="https://dx.doi.org/10.3406/rnord.1994.4900" TargetMode="External"/><Relationship Id="rId28" Type="http://schemas.openxmlformats.org/officeDocument/2006/relationships/hyperlink" Target="https://hal.science/hal-04869833v1" TargetMode="External"/><Relationship Id="rId29" Type="http://schemas.openxmlformats.org/officeDocument/2006/relationships/hyperlink" Target="https://www.lesbelleslettres.com/livre/9782251456683/la-juridicisation-de-l-eglise" TargetMode="External"/><Relationship Id="rId30" Type="http://schemas.openxmlformats.org/officeDocument/2006/relationships/hyperlink" Target="https://hal.science/hal-03829872v1" TargetMode="External"/><Relationship Id="rId31" Type="http://schemas.openxmlformats.org/officeDocument/2006/relationships/hyperlink" Target="https://hal.science/search/index/?q=*&amp;authFullName_s=Charles Miramon (de)" TargetMode="External"/><Relationship Id="rId32" Type="http://schemas.openxmlformats.org/officeDocument/2006/relationships/hyperlink" Target="https://www.cambridge.org/fr/academic/subjects/history/european-history-1000-1450/cambridge-history-medieval-canon-law" TargetMode="External"/><Relationship Id="rId33" Type="http://schemas.openxmlformats.org/officeDocument/2006/relationships/hyperlink" Target="https://hal.science/hal-03198849v1" TargetMode="External"/><Relationship Id="rId34" Type="http://schemas.openxmlformats.org/officeDocument/2006/relationships/hyperlink" Target="https://hal.science/hal-02426135v1" TargetMode="External"/><Relationship Id="rId35" Type="http://schemas.openxmlformats.org/officeDocument/2006/relationships/hyperlink" Target="https://shs.hal.science/halshs-01968245v1" TargetMode="External"/><Relationship Id="rId36" Type="http://schemas.openxmlformats.org/officeDocument/2006/relationships/hyperlink" Target="https://shs.hal.science/halshs-01529192v1" TargetMode="External"/><Relationship Id="rId37" Type="http://schemas.openxmlformats.org/officeDocument/2006/relationships/hyperlink" Target="https://shs.hal.science/halshs-00658369v1" TargetMode="External"/><Relationship Id="rId38" Type="http://schemas.openxmlformats.org/officeDocument/2006/relationships/hyperlink" Target="https://shs.hal.science/halshs-00658055v1" TargetMode="External"/><Relationship Id="rId39" Type="http://schemas.openxmlformats.org/officeDocument/2006/relationships/hyperlink" Target="https://hal.science/hal-04058460v1" TargetMode="External"/><Relationship Id="rId40" Type="http://schemas.openxmlformats.org/officeDocument/2006/relationships/hyperlink" Target="https://www.brepols.net/products/IS-9782503535623-1" TargetMode="External"/><Relationship Id="rId41" Type="http://schemas.openxmlformats.org/officeDocument/2006/relationships/hyperlink" Target="https://dx.doi.org/10.1484/M.BV-EB.3.4417" TargetMode="External"/><Relationship Id="rId42" Type="http://schemas.openxmlformats.org/officeDocument/2006/relationships/hyperlink" Target="https://shs.hal.science/halshs-00555606v1" TargetMode="External"/><Relationship Id="rId43" Type="http://schemas.openxmlformats.org/officeDocument/2006/relationships/hyperlink" Target="https://shs.hal.science/halshs-01278848v1" TargetMode="External"/><Relationship Id="rId44" Type="http://schemas.openxmlformats.org/officeDocument/2006/relationships/hyperlink" Target="http://www.sismel.it" TargetMode="External"/><Relationship Id="rId45" Type="http://schemas.openxmlformats.org/officeDocument/2006/relationships/hyperlink" Target="https://shs.hal.science/halshs-00339425v1" TargetMode="External"/><Relationship Id="rId46" Type="http://schemas.openxmlformats.org/officeDocument/2006/relationships/hyperlink" Target="https://shs.hal.science/halshs-01293906v1" TargetMode="External"/><Relationship Id="rId47" Type="http://schemas.openxmlformats.org/officeDocument/2006/relationships/hyperlink" Target="https://shs.hal.science/halshs-01110257v1" TargetMode="External"/><Relationship Id="rId48" Type="http://schemas.openxmlformats.org/officeDocument/2006/relationships/hyperlink" Target="https://shs.hal.science/halshs-00780023v1" TargetMode="External"/><Relationship Id="rId49" Type="http://schemas.openxmlformats.org/officeDocument/2006/relationships/hyperlink" Target="https://shs.hal.science/halshs-00776036v1" TargetMode="External"/><Relationship Id="rId50" Type="http://schemas.openxmlformats.org/officeDocument/2006/relationships/hyperlink" Target="https://shs.hal.science/halshs-01522071v1" TargetMode="External"/><Relationship Id="rId51" Type="http://schemas.openxmlformats.org/officeDocument/2006/relationships/hyperlink" Target="https://hal.science/hal-04254757v1" TargetMode="External"/><Relationship Id="rId52" Type="http://schemas.openxmlformats.org/officeDocument/2006/relationships/hyperlink" Target="https://hal.science/search/index/?q=*&amp;authFullName_s=Rapha&#235;l Eckert" TargetMode="External"/><Relationship Id="rId53" Type="http://schemas.openxmlformats.org/officeDocument/2006/relationships/hyperlink" Target="https://hal.science/search/index/?q=*&amp;authFullName_s=Carlo Fantappi&#233;" TargetMode="External"/><Relationship Id="rId54" Type="http://schemas.openxmlformats.org/officeDocument/2006/relationships/hyperlink" Target="https://hal.science/search/index/?q=*&amp;authFullName_s=Arnaud Fossier" TargetMode="External"/><Relationship Id="rId55" Type="http://schemas.openxmlformats.org/officeDocument/2006/relationships/hyperlink" Target="https://hal.science/search/index/?q=*&amp;authFullName_s=Mogens Laerke" TargetMode="External"/><Relationship Id="rId56" Type="http://schemas.openxmlformats.org/officeDocument/2006/relationships/hyperlink" Target="https://hal.science/hal-04210027v1" TargetMode="External"/><Relationship Id="rId57" Type="http://schemas.openxmlformats.org/officeDocument/2006/relationships/hyperlink" Target="https://hal.science/search/index/?q=*&amp;authFullName_s=Dominique Iogna-Prat" TargetMode="External"/><Relationship Id="rId58" Type="http://schemas.openxmlformats.org/officeDocument/2006/relationships/hyperlink" Target="https://hal.science/search/index/?q=*&amp;authFullName_s=Dominic Moreau" TargetMode="External"/><Relationship Id="rId59" Type="http://schemas.openxmlformats.org/officeDocument/2006/relationships/hyperlink" Target="https://hal.science/search/index/?q=*&amp;authFullName_s=Jean-Marc Ticchi" TargetMode="External"/><Relationship Id="rId6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Charles de Miramon</dc:title>
  <dc:description>CV</dc:description>
  <dc:subject/>
  <cp:keywords/>
  <cp:category/>
  <cp:lastModifiedBy/>
  <dcterms:created xsi:type="dcterms:W3CDTF">2026-03-19T12:07:21+01:00</dcterms:created>
  <dcterms:modified xsi:type="dcterms:W3CDTF">2026-03-19T12:07:21+01:00</dcterms:modified>
</cp:coreProperties>
</file>

<file path=docProps/custom.xml><?xml version="1.0" encoding="utf-8"?>
<Properties xmlns="http://schemas.openxmlformats.org/officeDocument/2006/custom-properties" xmlns:vt="http://schemas.openxmlformats.org/officeDocument/2006/docPropsVTypes"/>
</file>