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Charlotte Moyne-Ropars </w:t></w:r><w:r><w:rPr><w:color w:val="641e6e"/></w:rPr><w:t xml:space="preserve">Enseignant-chercheur contractuel en droit privé – Université de Bretagne Occidentale - AMURE (UMR 6308)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><w:b w:val="1"/><w:bCs w:val="1"/></w:rPr><w:t xml:space="preserve">CURSUS</w:t></w:r></w:p><w:p><w:pPr/><w:r><w:rPr><w:b w:val="1"/><w:bCs w:val="1"/></w:rPr><w:t xml:space="preserve">2024 Qualification aux fonctions de maître de conférences</w:t></w:r></w:p><w:p><w:pPr/><w:r><w:rPr><w:b w:val="1"/><w:bCs w:val="1"/></w:rPr><w:t xml:space="preserve">2017-2023 Doctorat en droit privé</w:t></w:r><w:r><w:rPr/><w:t xml:space="preserve">« L’application de la loi dans le temps aux statuts de sociétés » sous la direction du Professeur Renaud MortierAutorisation de publication en l’étatProposition à un prix de thèse</w:t></w:r></w:p><w:p><w:pPr/><w:r><w:rPr><w:b w:val="1"/><w:bCs w:val="1"/></w:rPr><w:t xml:space="preserve">2014-2015 DU 1 de Médiateur</w:t></w:r><w:r><w:rPr/><w:t xml:space="preserve"> – </w:t></w:r><w:r><w:rPr><w:i w:val="1"/><w:iCs w:val="1"/></w:rPr><w:t xml:space="preserve">Institut de Formation à la Médiation et à la Négociation</w:t></w:r></w:p><w:p><w:pPr/><w:r><w:rPr><w:b w:val="1"/><w:bCs w:val="1"/></w:rPr><w:t xml:space="preserve">2011 Certificat d’Aptitude à la Profession d’Avocat</w:t></w:r><w:r><w:rPr/><w:t xml:space="preserve"> – </w:t></w:r><w:r><w:rPr><w:i w:val="1"/><w:iCs w:val="1"/></w:rPr><w:t xml:space="preserve">Ecole des Avocats Du Grand Ouest</w:t></w:r></w:p><w:p><w:pPr/><w:r><w:rPr><w:b w:val="1"/><w:bCs w:val="1"/></w:rPr><w:t xml:space="preserve">2009-2010 LL.M. International Business Law, mention Bien</w:t></w:r><w:r><w:rPr/><w:t xml:space="preserve"> – </w:t></w:r><w:r><w:rPr><w:i w:val="1"/><w:iCs w:val="1"/></w:rPr><w:t xml:space="preserve">University of Exeter (UK)</w:t></w:r><w:r><w:rPr/><w:t xml:space="preserve">Mémoire : « Analyse comparée de la période précontractuelle en droit anglais et droit français »</w:t></w:r></w:p><w:p><w:pPr/><w:r><w:rPr><w:b w:val="1"/><w:bCs w:val="1"/></w:rPr><w:t xml:space="preserve">2007-2008	Master 2 DJCE / Droit des affaires, mention Assez Bien</w:t></w:r><w:r><w:rPr/><w:t xml:space="preserve"> – </w:t></w:r><w:r><w:rPr><w:i w:val="1"/><w:iCs w:val="1"/></w:rPr><w:t xml:space="preserve">Université Toulouse Capitole</w:t></w:r><w:r><w:rPr><w:b w:val="1"/><w:bCs w:val="1"/></w:rPr><w:t xml:space="preserve">Certificat d’études spécialisées en droit fiscal</w:t></w:r><w:r><w:rPr/><w:t xml:space="preserve"> – </w:t></w:r><w:r><w:rPr><w:i w:val="1"/><w:iCs w:val="1"/></w:rPr><w:t xml:space="preserve">Université de Montpellier</w:t></w:r></w:p><w:p><w:pPr/><w:r><w:rPr><w:b w:val="1"/><w:bCs w:val="1"/></w:rPr><w:t xml:space="preserve">2006-2007 Master 1 Droit des affaires, mention Assez Bien</w:t></w:r><w:r><w:rPr/><w:t xml:space="preserve"> – </w:t></w:r><w:r><w:rPr><w:i w:val="1"/><w:iCs w:val="1"/></w:rPr><w:t xml:space="preserve">Université Jean Moulin Lyon 3</w:t></w:r></w:p><w:p><w:pPr/><w:r><w:rPr><w:b w:val="1"/><w:bCs w:val="1"/></w:rPr><w:t xml:space="preserve">2006 Licence de Droit privé, mention Assez Bien</w:t></w:r><w:r><w:rPr/><w:t xml:space="preserve"> – </w:t></w:r><w:r><w:rPr><w:i w:val="1"/><w:iCs w:val="1"/></w:rPr><w:t xml:space="preserve">Université Jean Moulin Lyon 3</w:t></w:r><w:r><w:rPr><w:b w:val="1"/><w:bCs w:val="1"/></w:rPr><w:t xml:space="preserve">Diplôme Universitaire de droit espagnol, mention Assez Bien</w:t></w:r><w:r><w:rPr/><w:t xml:space="preserve"> – </w:t></w:r><w:r><w:rPr><w:i w:val="1"/><w:iCs w:val="1"/></w:rPr><w:t xml:space="preserve">Institut de Droit Comparé Édouard Lambert (Lyon)</w:t></w:r></w:p><w:p><w:pPr><w:pStyle w:val="Heading1"/></w:pPr><w:r><w:rPr><w:b w:val="1"/><w:bCs w:val="1"/></w:rPr><w:t xml:space="preserve">ACTIVITÉS D’ENSEIGNEMENT</w:t></w:r></w:p><w:p><w:pPr/><w:r><w:rPr><w:b w:val="1"/><w:bCs w:val="1"/></w:rPr><w:t xml:space="preserve">2024-2025	Enseignant-chercheur contractuel en droit privé</w:t></w:r><w:r><w:rPr/><w:t xml:space="preserve"> – </w:t></w:r><w:r><w:rPr><w:i w:val="1"/><w:iCs w:val="1"/></w:rPr><w:t xml:space="preserve">Université de BretagneOccidentale</w:t></w:r><w:r><w:rPr/><w:t xml:space="preserve"> -</w:t></w:r><w:r><w:rPr><w:i w:val="1"/><w:iCs w:val="1"/></w:rPr><w:t xml:space="preserve">Faculté de droit de Brest et Quimper - AMURE (UMR 6308)</w:t></w:r></w:p><w:p><w:pPr/><w:r><w:rPr><w:b w:val="1"/><w:bCs w:val="1"/></w:rPr><w:t xml:space="preserve">Cours magistral :</w:t></w:r><w:r><w:rPr/><w:t xml:space="preserve">Systèmes juridiques comparés, Licence 3</w:t></w:r></w:p><w:p><w:pPr/><w:r><w:rPr><w:b w:val="1"/><w:bCs w:val="1"/></w:rPr><w:t xml:space="preserve">Travaux dirigés :</w:t></w:r></w:p><w:p><w:pPr><w:numPr><w:ilvl w:val="0"/><w:numId w:val="1"/></w:numPr></w:pPr><w:r><w:rPr/><w:t xml:space="preserve">Droit commercial, en Licence 3, sous la dir. du Professeur A. Ballot-Léna</w:t></w:r></w:p><w:p><w:pPr><w:numPr><w:ilvl w:val="0"/><w:numId w:val="1"/></w:numPr></w:pPr><w:r><w:rPr/><w:t xml:space="preserve">Droit des contrats, en Licence 2, sous la dir. de Madame A-S. Lucas-Puget</w:t></w:r></w:p><w:p><w:pPr><w:numPr><w:ilvl w:val="0"/><w:numId w:val="1"/></w:numPr></w:pPr><w:r><w:rPr/><w:t xml:space="preserve">Droit des sociétés, en Licence 3, sous la dir. du Professeur A. Ballot-Léna</w:t></w:r></w:p><w:p><w:pPr><w:numPr><w:ilvl w:val="0"/><w:numId w:val="1"/></w:numPr></w:pPr><w:r><w:rPr/><w:t xml:space="preserve">Droit de la famille, en Licence 1, sous la dir. du Professeur M. Lagelée-Heymann</w:t></w:r></w:p><w:p><w:pPr><w:numPr><w:ilvl w:val="0"/><w:numId w:val="1"/></w:numPr></w:pPr><w:r><w:rPr/><w:t xml:space="preserve">Droit de la responsabilité civile, en Licence 2, sous la dir. de Madame L. Mazeau</w:t></w:r></w:p><w:p><w:pPr/><w:r><w:rPr><w:b w:val="1"/><w:bCs w:val="1"/></w:rPr><w:t xml:space="preserve">2017-2022 Vacataire</w:t></w:r><w:r><w:rPr/><w:t xml:space="preserve"> – </w:t></w:r><w:r><w:rPr><w:i w:val="1"/><w:iCs w:val="1"/></w:rPr><w:t xml:space="preserve">Université de Bretagne Occidentale - Faculté de droit de Brest</w:t></w:r><w:r><w:rPr><w:b w:val="1"/><w:bCs w:val="1"/></w:rPr><w:t xml:space="preserve">Travaux dirigés :</w:t></w:r></w:p><w:p><w:pPr><w:numPr><w:ilvl w:val="0"/><w:numId w:val="2"/></w:numPr></w:pPr><w:r><w:rPr/><w:t xml:space="preserve">Droit des contrats, en Licence 2, sous la dir. de Madame A-S. Lucas-Puget</w:t></w:r></w:p><w:p><w:pPr><w:numPr><w:ilvl w:val="0"/><w:numId w:val="2"/></w:numPr></w:pPr><w:r><w:rPr/><w:t xml:space="preserve">Régime général des obligations, en Licence 3, sous la dir. du Professeur I. Sérandour</w:t></w:r></w:p><w:p><w:pPr><w:numPr><w:ilvl w:val="0"/><w:numId w:val="2"/></w:numPr></w:pPr><w:r><w:rPr/><w:t xml:space="preserve">Droit des affaires, en Licence 3, sous la dir. du Professeur I. Sérandour</w:t></w:r></w:p><w:p><w:pPr><w:numPr><w:ilvl w:val="0"/><w:numId w:val="2"/></w:numPr></w:pPr><w:r><w:rPr/><w:t xml:space="preserve">Droit des sociétés, en Licence 3, sous la dir. de Madame A-S. Lucas-Puget</w:t></w:r></w:p><w:p><w:pPr><w:numPr><w:ilvl w:val="0"/><w:numId w:val="2"/></w:numPr></w:pPr><w:r><w:rPr/><w:t xml:space="preserve">Droit des affaires, en Licence 3, sous la dir. du Professeur I. Sérandour</w:t></w:r></w:p><w:p><w:pPr><w:pStyle w:val="Heading1"/></w:pPr><w:r><w:rPr><w:b w:val="1"/><w:bCs w:val="1"/></w:rPr><w:t xml:space="preserve">AUTRES EXPÉRIENCES PROFESSIONNELLES</w:t></w:r></w:p><w:p><w:pPr/><w:r><w:rPr/><w:t xml:space="preserve">Juriste2015- 2016	Société Générale - Service Gestion Entreprises : droit bancaire – Rennes</w:t></w:r></w:p><w:p><w:pPr/><w:r><w:rPr/><w:t xml:space="preserve">Avocat2011-2014	A.CO.R : droit des sociétés, droit fiscal, droit commercial – Rennes</w:t></w:r></w:p><w:p><w:pPr/><w:r><w:rPr/><w:t xml:space="preserve">Stagiaire en cabinet d’avocats2007- 2011	Fidal, département Droit fiscal – NantesSCPA Bondiguel & Associés, Contentieux fiscal – RennesSoulier AARPI, Droit fiscal – LyonFidal, département Droit des sociétés, Droit boursier – Paris</w:t></w:r></w:p><w:p><w:pPr><w:pStyle w:val="Heading1"/></w:pPr><w:r><w:rPr><w:b w:val="1"/><w:bCs w:val="1"/></w:rPr><w:t xml:space="preserve">ACTIVITÉS SCIENTIFIQUES</w:t></w:r></w:p><w:p><w:pPr/><w:r><w:rPr/><w:t xml:space="preserve">THÈMES DE RECHERCHEDroit des sociétés, droit civil, droit des contrats, droit transitoire.</w:t></w:r></w:p><w:p><w:pPr/><w:r><w:rPr/><w:t xml:space="preserve">THÈSE – L’APPLICATION DE LA LOI DANS LE TEMPS AUX STATUTS DE SOCIÉTÉS« L’application de la loi dans le temps aux statuts de sociétés » sous la direction du Professeur R. Mortier,soutenue publiquement le 29 novembre 2023 à Rennes.</w:t></w:r></w:p><w:p><w:pPr/><w:r><w:rPr/><w:t xml:space="preserve">PUBLICATIONS</w:t></w:r></w:p><w:p><w:pPr/><w:r><w:rPr/><w:t xml:space="preserve">« Disproportion du cautionnement : portée probatoire de la fiche de renseignements », note sous Cass. com., 30 août 2023, no 21-20.222, F-B, JCP E janvier 2024, n° 2, 1011, p. 43.</w:t></w:r></w:p><w:p><w:pPr/><w:r><w:rPr/><w:t xml:space="preserve">« Disproportion du cautionnement : portée probatoire de la fiche de renseignements postérieure à l’engagement de caution », note sous Cass. com., 13 mars 2024, n° 22-19.900, F-B, JCP E juin 2024, n° 25, 1188, p. 27.</w:t></w:r></w:p><w:p><w:pPr/><w:r><w:rPr/><w:t xml:space="preserve">« Force obligatoire d’un pacte d’associés sans référence aux statuts ! », note sous Cass. com., 18 septembre 2024, no 22-23.075, F-D, JCP E février 2025, n° 9-10, 1066, p. 16.</w:t></w:r></w:p><w:p><w:pPr/><w:r><w:rPr/><w:t xml:space="preserve">« Les entreprises du secteur maritime confrontées à de nouvelles contributions », article, JCP E avril 2025, n° 15, 1113, p. 53-54.</w:t></w:r></w:p><w:p><w:pPr><w:pStyle w:val="Heading1"/></w:pPr><w:r><w:rPr/><w:t xml:space="preserve">AUTRES ACTIVITÉS</w:t></w:r></w:p><w:p><w:pPr/><w:r><w:rPr/><w:t xml:space="preserve">Participation aux colloques et assemblées générales du Centre de Droit des Affaires de Rennes (UPRES EA 3195)Enseignant-chercheur référent pour les stages en L2 et L3.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« Force obligatoire d’un pacte d’associés sans référence aux statuts ! », note sous Cass. com., 18 septembre 2024, n° 22-23.075, F-D</w:t></w:r></w:hyperlink></w:p><w:p><w:pPr/><w:hyperlink r:id="rId8" w:history="1"><w:r><w:rPr><w:color w:val="#410a8c"/><w:u w:val="single"/></w:rPr><w:t xml:space="preserve">Charlotte Moyne-Ropars</w:t></w:r></w:hyperlink></w:p><w:p><w:pPr/><w:r><w:rPr><w:i w:val="1"/><w:iCs w:val="1"/></w:rPr><w:t xml:space="preserve">La Semaine juridique. Entreprise et affaires</w:t></w:r><w:r><w:rPr/><w:t xml:space="preserve">, 2025, 9-10, pp.16</w:t></w:r></w:p><w:p><w:pPr/><w:r><w:rPr/><w:t xml:space="preserve">Article dans une revue</w:t></w:r></w:p><w:p><w:pPr/><w:hyperlink r:id="rId7" w:history="1"><w:r><w:rPr><w:color w:val="#410a8c"/><w:u w:val="single"/></w:rPr><w:t xml:space="preserve">hal-05039886v1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« Les entreprises du secteur maritime confrontées à de nouvelles contributions »</w:t></w:r></w:hyperlink></w:p><w:p><w:pPr/><w:hyperlink r:id="rId8" w:history="1"><w:r><w:rPr><w:color w:val="#410a8c"/><w:u w:val="single"/></w:rPr><w:t xml:space="preserve">Charlotte Moyne-Ropars</w:t></w:r></w:hyperlink></w:p><w:p><w:pPr/><w:r><w:rPr><w:i w:val="1"/><w:iCs w:val="1"/></w:rPr><w:t xml:space="preserve">La Semaine juridique. Entreprise et affaires</w:t></w:r><w:r><w:rPr/><w:t xml:space="preserve">, 2025, 15, pp.53</w:t></w:r></w:p><w:p><w:pPr/><w:r><w:rPr/><w:t xml:space="preserve">Article dans une revue</w:t></w:r></w:p><w:p><w:pPr/><w:hyperlink r:id="rId9" w:history="1"><w:r><w:rPr><w:color w:val="#410a8c"/><w:u w:val="single"/></w:rPr><w:t xml:space="preserve">hal-05039892v1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« Disproportion du cautionnement : portée probatoire de la fiche de renseignements », note sous Cass. com., 30 août 2023, n° 21-20.222</w:t></w:r></w:hyperlink></w:p><w:p><w:pPr/><w:hyperlink r:id="rId8" w:history="1"><w:r><w:rPr><w:color w:val="#410a8c"/><w:u w:val="single"/></w:rPr><w:t xml:space="preserve">Charlotte Moyne-Ropars</w:t></w:r></w:hyperlink></w:p><w:p><w:pPr/><w:r><w:rPr><w:i w:val="1"/><w:iCs w:val="1"/></w:rPr><w:t xml:space="preserve">La Semaine juridique. Entreprise et affaires</w:t></w:r><w:r><w:rPr/><w:t xml:space="preserve">, 2024, 2, pp.43</w:t></w:r></w:p><w:p><w:pPr/><w:r><w:rPr/><w:t xml:space="preserve">Article dans une revue</w:t></w:r></w:p><w:p><w:pPr/><w:hyperlink r:id="rId10" w:history="1"><w:r><w:rPr><w:color w:val="#410a8c"/><w:u w:val="single"/></w:rPr><w:t xml:space="preserve">hal-05039870v1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Disproportion du cautionnement : portée probatoire de la fiche de renseignements postérieure à l’engagement de caution », note sous Cass. com., 13 mars 2024, no 22-19.900, F-B</w:t></w:r></w:hyperlink></w:p><w:p><w:pPr/><w:hyperlink r:id="rId8" w:history="1"><w:r><w:rPr><w:color w:val="#410a8c"/><w:u w:val="single"/></w:rPr><w:t xml:space="preserve">Charlotte Moyne-Ropars</w:t></w:r></w:hyperlink></w:p><w:p><w:pPr/><w:r><w:rPr><w:i w:val="1"/><w:iCs w:val="1"/></w:rPr><w:t xml:space="preserve">La Semaine juridique. Entreprise et affaires</w:t></w:r><w:r><w:rPr/><w:t xml:space="preserve">, 2024, 25, pp.27</w:t></w:r></w:p><w:p><w:pPr/><w:r><w:rPr/><w:t xml:space="preserve">Article dans une revue</w:t></w:r></w:p><w:p><w:pPr/><w:hyperlink r:id="rId11" w:history="1"><w:r><w:rPr><w:color w:val="#410a8c"/><w:u w:val="single"/></w:rPr><w:t xml:space="preserve">hal-05039877v1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L’application de la loi dans le temps aux statuts de sociétés</w:t></w:r></w:hyperlink></w:p><w:p><w:pPr/><w:hyperlink r:id="rId8" w:history="1"><w:r><w:rPr><w:color w:val="#410a8c"/><w:u w:val="single"/></w:rPr><w:t xml:space="preserve">Charlotte Moyne-Ropars</w:t></w:r></w:hyperlink></w:p><w:p><w:pPr/><w:r><w:rPr/><w:t xml:space="preserve">Sciences de l'Homme et Société. Université de Rennes, 2023. Français. </w:t></w:r><w:hyperlink r:id="rId13" w:history="1"><w:r><w:rPr><w:color w:val="#410a8c"/><w:u w:val="single"/></w:rPr><w:t xml:space="preserve">⟨NNT : ⟩</w:t></w:r></w:hyperlink></w:p><w:p><w:pPr/><w:r><w:rPr/><w:t xml:space="preserve">Thèse</w:t></w:r></w:p><w:p><w:pPr/><w:hyperlink r:id="rId12" w:history="1"><w:r><w:rPr><w:color w:val="#410a8c"/><w:u w:val="single"/></w:rPr><w:t xml:space="preserve">tel-05039841v1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B59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BD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886v1" TargetMode="External"/><Relationship Id="rId8" Type="http://schemas.openxmlformats.org/officeDocument/2006/relationships/hyperlink" Target="https://hal.science/search/index/?q=*&amp;authFullName_s=Charlotte Moyne-Ropars" TargetMode="External"/><Relationship Id="rId9" Type="http://schemas.openxmlformats.org/officeDocument/2006/relationships/hyperlink" Target="https://hal.science/hal-05039892v1" TargetMode="External"/><Relationship Id="rId10" Type="http://schemas.openxmlformats.org/officeDocument/2006/relationships/hyperlink" Target="https://hal.science/hal-05039870v1" TargetMode="External"/><Relationship Id="rId11" Type="http://schemas.openxmlformats.org/officeDocument/2006/relationships/hyperlink" Target="https://hal.science/hal-05039877v1" TargetMode="External"/><Relationship Id="rId12" Type="http://schemas.openxmlformats.org/officeDocument/2006/relationships/hyperlink" Target="https://hal.science/tel-05039841v1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Moyne-Ropars</dc:title>
  <dc:description>CV</dc:description>
  <dc:subject/>
  <cp:keywords/>
  <cp:category/>
  <cp:lastModifiedBy/>
  <dcterms:created xsi:type="dcterms:W3CDTF">2026-05-21T07:20:17+02:00</dcterms:created>
  <dcterms:modified xsi:type="dcterms:W3CDTF">2026-05-21T07:20:17+02:00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