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Cadart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compétences dans les systèmes éducatifs européens. Évolutions historiques et approches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Lombardi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Cadart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Estany</w:t>
              </w:r>
            </w:hyperlink>
          </w:p>
          <w:p>
            <w:pPr/>
            <w:r>
              <w:rPr/>
              <w:t xml:space="preserve">Conseil supérieur des programmes; Centre national d'étude des systèmes scolaires (Cnesco).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hal-05027307v1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307v1" TargetMode="External"/><Relationship Id="rId8" Type="http://schemas.openxmlformats.org/officeDocument/2006/relationships/hyperlink" Target="https://hal.science/search/index/?q=*&amp;authFullName_s=Luisa Lombardi" TargetMode="External"/><Relationship Id="rId9" Type="http://schemas.openxmlformats.org/officeDocument/2006/relationships/hyperlink" Target="https://hal.science/search/index/?q=*&amp;authFullName_s=Claire Cadart" TargetMode="External"/><Relationship Id="rId10" Type="http://schemas.openxmlformats.org/officeDocument/2006/relationships/hyperlink" Target="https://hal.science/search/index/?q=*&amp;authFullName_s=Johanna Estany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Cadart</dc:title>
  <dc:description>CV</dc:description>
  <dc:subject/>
  <cp:keywords/>
  <cp:category/>
  <cp:lastModifiedBy/>
  <dcterms:created xsi:type="dcterms:W3CDTF">2026-04-11T14:22:30+02:00</dcterms:created>
  <dcterms:modified xsi:type="dcterms:W3CDTF">2026-04-11T14:22:30+02:00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