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Méric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chimiques : une ligne rouge du droit international de facto franchissable ? À la recherche de l’effectivité de l’interdiction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pour les études sur la guerre et la stratégie (AEGES)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: illustration de l’imbrication des normes internes et internationales de protection de l’État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Défis du droit public</w:t>
            </w:r>
            <w:r>
              <w:rPr/>
              <w:t xml:space="preserve">, Section française de l’International Society of Public Law (ICON-S),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Cour de Strasbourg : source de renforcement et d’harmonisation des droits des détenus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et libertés en milieu carcéral</w:t>
            </w:r>
            <w:r>
              <w:rPr/>
              <w:t xml:space="preserve">, EDDC,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libertés individuelles et impératif sanitaire : les garanties conventionnelles à l’épreuve de la pandémie (obs. sous Cour eur. dr. h., arrêt Pasquinelli et autres c. Saint-Marin, 29 août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2025, 144, pp. 1081-1101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des sanctions de l’Union européenne ou la recherche d’une cohérence normative entre les ordres juridiques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pp.199-215.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⟨10.3917/epas.bluma.2023.01.0199⟩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catégorie des violations graves d’obligations découlant des normes impératives du droit international général : illustration de l’ambivalence de la Commission entre innovation et immobilisme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2022, 51, pp. 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indirecte du droit à un environnement sain par une lecture extensive du Pacte international relatif aux droits civils et politiques, article sous : Comité des droits de l’homme des Nations Unies, Cáceres c. Paraguay, n°2751/2016, U.N. Doc. CCPR/C/126/D/2751/2016, 20 septembre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2021, 49, pp. 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droit international humanitaire au sein des normes internes de lutte contre le terrorisme : une instrumentalisation malvenue de l’applicabilité des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/>
              <w:t xml:space="preserve">Laurent TRIGEAUD. </w:t>
            </w:r>
            <w:r>
              <w:rPr>
                <w:i w:val="1"/>
                <w:iCs w:val="1"/>
              </w:rPr>
              <w:t xml:space="preserve">La réception du droit international humanitaire en droit interne. Un ancrage du droit des conflits armés dans la réglementation nationale</w:t>
            </w:r>
            <w:r>
              <w:rPr/>
              <w:t xml:space="preserve">, Pedone, pp. 121-142,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l’Union européenne en matière de transferts d’armes : illustration d’une ambivalence consubstantielle à l’organisation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/>
              <w:t xml:space="preserve">Laurent TRIGEAUD. </w:t>
            </w:r>
            <w:r>
              <w:rPr>
                <w:i w:val="1"/>
                <w:iCs w:val="1"/>
              </w:rPr>
              <w:t xml:space="preserve">Droit de l’homme et droit international humanitaire : quelles conséquences sur les transferts d’armements conventionnels de guerre ?</w:t>
            </w:r>
            <w:r>
              <w:rPr/>
              <w:t xml:space="preserve">, Pedone, pp. 219-238,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d’innocence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CEDH</w:t>
            </w:r>
            <w:r>
              <w:rPr/>
              <w:t xml:space="preserve">, 2022, pp. 316-318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CEDH</w:t>
            </w:r>
            <w:r>
              <w:rPr/>
              <w:t xml:space="preserve">, 2022, pp. 415-417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hal-05185321v1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324v1" TargetMode="External"/><Relationship Id="rId8" Type="http://schemas.openxmlformats.org/officeDocument/2006/relationships/hyperlink" Target="https://hal.science/search/index/?q=*&amp;authFullName_s=Claire M&#233;ric" TargetMode="External"/><Relationship Id="rId9" Type="http://schemas.openxmlformats.org/officeDocument/2006/relationships/hyperlink" Target="https://hal.science/hal-05185328v1" TargetMode="External"/><Relationship Id="rId10" Type="http://schemas.openxmlformats.org/officeDocument/2006/relationships/hyperlink" Target="https://hal.science/hal-05185331v1" TargetMode="External"/><Relationship Id="rId11" Type="http://schemas.openxmlformats.org/officeDocument/2006/relationships/hyperlink" Target="https://hal.science/hal-05327435v1" TargetMode="External"/><Relationship Id="rId12" Type="http://schemas.openxmlformats.org/officeDocument/2006/relationships/hyperlink" Target="https://hal.science/hal-05185312v1" TargetMode="External"/><Relationship Id="rId13" Type="http://schemas.openxmlformats.org/officeDocument/2006/relationships/hyperlink" Target="https://dx.doi.org/10.3917/epas.bluma.2023.01.0199" TargetMode="External"/><Relationship Id="rId14" Type="http://schemas.openxmlformats.org/officeDocument/2006/relationships/hyperlink" Target="https://hal.science/hal-05185314v1" TargetMode="External"/><Relationship Id="rId15" Type="http://schemas.openxmlformats.org/officeDocument/2006/relationships/hyperlink" Target="https://hal.science/hal-05185316v1" TargetMode="External"/><Relationship Id="rId16" Type="http://schemas.openxmlformats.org/officeDocument/2006/relationships/hyperlink" Target="https://hal.science/hal-05185318v1" TargetMode="External"/><Relationship Id="rId17" Type="http://schemas.openxmlformats.org/officeDocument/2006/relationships/hyperlink" Target="https://hal.science/hal-05185319v1" TargetMode="External"/><Relationship Id="rId18" Type="http://schemas.openxmlformats.org/officeDocument/2006/relationships/hyperlink" Target="https://hal.science/hal-05185320v1" TargetMode="External"/><Relationship Id="rId19" Type="http://schemas.openxmlformats.org/officeDocument/2006/relationships/hyperlink" Target="https://hal.science/hal-0518532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Méric</dc:title>
  <dc:description>CV</dc:description>
  <dc:subject/>
  <cp:keywords/>
  <cp:category/>
  <cp:lastModifiedBy/>
  <dcterms:created xsi:type="dcterms:W3CDTF">2026-05-25T22:57:06+02:00</dcterms:created>
  <dcterms:modified xsi:type="dcterms:W3CDTF">2026-05-25T22:57:06+02:00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