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Mongouachon </w:t></w:r><w:r><w:rPr><w:color w:val="641e6e"/></w:rPr><w:t xml:space="preserve">Maîtresse de conférences en droit publicAix-Marseille Université Faculté de droit et de science politique</w:t></w:r></w:p><w:p><w:pPr><w:spacing w:before="600"/></w:pPr></w:p><w:p><w:pPr><w:spacing w:before="600"/></w:pPr></w:p><w:p><w:pPr><w:pStyle w:val="Heading2"/></w:pPr><w:r><w:rPr><w:color w:val="1e198e"/><w:b w:val="1"/><w:bCs w:val="1"/></w:rPr><w:t xml:space="preserve">Présentation</w:t></w:r></w:p><w:p><w:pPr><w:spacing w:after="100"/></w:pPr></w:p><w:p><w:pPr/><w:r><w:rPr/><w:t xml:space="preserve">Maîtresse de conférences en droit public à l'Université d'Aix-Marseille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DMA : La Commission européenne publie son deuxième rapport annuel sur le règlement sur les marchés numériques</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2025, 7</w:t></w:r></w:p><w:p><w:pPr/><w:r><w:rPr/><w:t xml:space="preserve">Article dans une revue</w:t></w:r></w:p><w:p><w:pPr/><w:hyperlink r:id="rId7" w:history="1"><w:r><w:rPr><w:color w:val="#410a8c"/><w:u w:val="single"/></w:rPr><w:t xml:space="preserve">hal-05566719v1</w:t></w:r></w:hyperlink></w:p></w:tc></w:tr><w:tr><w:trPr/><w:tc><w:tcPr><w:noWrap/></w:tcPr><w:p><w:pPr><w:spacing w:after="200"/></w:pPr><w:hyperlink r:id="rId9" w:history="1"><w:r><w:rPr><w:color w:val="1e198e"/><w:b w:val="1"/><w:bCs w:val="1"/><w:u w:val="single"/></w:rPr><w:t xml:space="preserve">La Cour d’appel de Paris confirme la sanction infligée par l’Autorité de la concurrence à un groupe de sociétés pour des pratiques discriminatoires entravant la vente en ligne dans le secteur des verres optiques (Essilor)</w:t></w:r></w:hyperlink></w:p><w:p><w:pPr/><w:hyperlink r:id="rId8" w:history="1"><w:r><w:rPr><w:color w:val="#410a8c"/><w:u w:val="single"/></w:rPr><w:t xml:space="preserve">Claire Mongouachon</w:t></w:r></w:hyperlink><w:r><w:rPr/><w:t xml:space="preserve">,</w:t></w:r><w:hyperlink r:id="rId10" w:history="1"><w:r><w:rPr><w:color w:val="#410a8c"/><w:u w:val="single"/></w:rPr><w:t xml:space="preserve">Marie Cartapanis</w:t></w:r></w:hyperlink></w:p><w:p><w:pPr/><w:r><w:rPr><w:i w:val="1"/><w:iCs w:val="1"/></w:rPr><w:t xml:space="preserve">Concurrences [Competition law journal / Revue des droits de la concurrence]</w:t></w:r><w:r><w:rPr/><w:t xml:space="preserve">, 2025, 4</w:t></w:r></w:p><w:p><w:pPr/><w:r><w:rPr/><w:t xml:space="preserve">Article dans une revue</w:t></w:r></w:p><w:p><w:pPr/><w:hyperlink r:id="rId9" w:history="1"><w:r><w:rPr><w:color w:val="#410a8c"/><w:u w:val="single"/></w:rPr><w:t xml:space="preserve">hal-05566781v1</w:t></w:r></w:hyperlink></w:p></w:tc></w:tr><w:tr><w:trPr/><w:tc><w:tcPr><w:noWrap/></w:tcPr><w:p><w:pPr><w:spacing w:after="200"/></w:pPr><w:hyperlink r:id="rId11" w:history="1"><w:r><w:rPr><w:color w:val="1e198e"/><w:b w:val="1"/><w:bCs w:val="1"/><w:u w:val="single"/></w:rPr><w:t xml:space="preserve">La Commission européenne inflige à un GAFA une amende de 797,72 millions d’euros pour pratiques abusives en faveur de la marketplace de son réseau social (Facebook Marketplace)</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2025, 4</w:t></w:r></w:p><w:p><w:pPr/><w:r><w:rPr/><w:t xml:space="preserve">Article dans une revue</w:t></w:r></w:p><w:p><w:pPr/><w:hyperlink r:id="rId11" w:history="1"><w:r><w:rPr><w:color w:val="#410a8c"/><w:u w:val="single"/></w:rPr><w:t xml:space="preserve">hal-05566784v1</w:t></w:r></w:hyperlink></w:p></w:tc></w:tr><w:tr><w:trPr/><w:tc><w:tcPr><w:noWrap/></w:tcPr><w:p><w:pPr><w:spacing w:after="200"/></w:pPr><w:hyperlink r:id="rId12" w:history="1"><w:r><w:rPr><w:color w:val="1e198e"/><w:b w:val="1"/><w:bCs w:val="1"/><w:u w:val="single"/></w:rPr><w:t xml:space="preserve">Test AEC : La Cour de justice de l'Union européenne rejette un pourvoi formé par la Commission européenne et se prononce sur la mise en oeuvre du test du concurrent aussi efficace (Intel)</w:t></w:r></w:hyperlink></w:p><w:p><w:pPr/><w:hyperlink r:id="rId8" w:history="1"><w:r><w:rPr><w:color w:val="#410a8c"/><w:u w:val="single"/></w:rPr><w:t xml:space="preserve">Claire Mongouachon</w:t></w:r></w:hyperlink><w:r><w:rPr/><w:t xml:space="preserve">,</w:t></w:r><w:hyperlink r:id="rId10" w:history="1"><w:r><w:rPr><w:color w:val="#410a8c"/><w:u w:val="single"/></w:rPr><w:t xml:space="preserve">Marie Cartapanis</w:t></w:r></w:hyperlink></w:p><w:p><w:pPr/><w:r><w:rPr><w:i w:val="1"/><w:iCs w:val="1"/></w:rPr><w:t xml:space="preserve">Concurrences [Competition law journal / Revue des droits de la concurrence]</w:t></w:r><w:r><w:rPr/><w:t xml:space="preserve">, 2025</w:t></w:r></w:p><w:p><w:pPr/><w:r><w:rPr/><w:t xml:space="preserve">Article dans une revue</w:t></w:r></w:p><w:p><w:pPr/><w:hyperlink r:id="rId12" w:history="1"><w:r><w:rPr><w:color w:val="#410a8c"/><w:u w:val="single"/></w:rPr><w:t xml:space="preserve">hal-05374719v1</w:t></w:r></w:hyperlink></w:p></w:tc></w:tr><w:tr><w:trPr/><w:tc><w:tcPr><w:noWrap/></w:tcPr><w:p><w:pPr><w:spacing w:after="200"/></w:pPr><w:hyperlink r:id="rId13" w:history="1"><w:r><w:rPr><w:color w:val="1e198e"/><w:b w:val="1"/><w:bCs w:val="1"/><w:u w:val="single"/></w:rPr><w:t xml:space="preserve">Digital Markets Act : Le Tribunal de l’Union européenne livre sa première interprétation des critères de qualification des contrôleurs d’accès posés dans le DMA (Bytedance)</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4, pp.119-122</w:t></w:r></w:p><w:p><w:pPr/><w:r><w:rPr/><w:t xml:space="preserve">Article dans une revue</w:t></w:r></w:p><w:p><w:pPr/><w:hyperlink r:id="rId13" w:history="1"><w:r><w:rPr><w:color w:val="#410a8c"/><w:u w:val="single"/></w:rPr><w:t xml:space="preserve">hal-05566800v1</w:t></w:r></w:hyperlink></w:p></w:tc></w:tr><w:tr><w:trPr/><w:tc><w:tcPr><w:noWrap/></w:tcPr><w:p><w:pPr><w:spacing w:after="200"/></w:pPr><w:hyperlink r:id="rId14" w:history="1"><w:r><w:rPr><w:color w:val="1e198e"/><w:b w:val="1"/><w:bCs w:val="1"/><w:u w:val="single"/></w:rPr><w:t xml:space="preserve">Autorisation préalable : La Cour de justice de l’Union européenne expose les critères de qualification et de justification de l’abus de position dominante applicables aux pouvoirs des instances européenne et internationale de football en matière d’organisation et d’exploitation des compétitions sportives (ESLC / UEFA / FIFA)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2</w:t></w:r></w:p><w:p><w:pPr/><w:r><w:rPr/><w:t xml:space="preserve">Article dans une revue</w:t></w:r></w:p><w:p><w:pPr/><w:hyperlink r:id="rId14" w:history="1"><w:r><w:rPr><w:color w:val="#410a8c"/><w:u w:val="single"/></w:rPr><w:t xml:space="preserve">hal-05566811v1</w:t></w:r></w:hyperlink></w:p></w:tc></w:tr><w:tr><w:trPr/><w:tc><w:tcPr><w:noWrap/></w:tcPr><w:p><w:pPr><w:spacing w:after="200"/></w:pPr><w:hyperlink r:id="rId15" w:history="1"><w:r><w:rPr><w:color w:val="1e198e"/><w:b w:val="1"/><w:bCs w:val="1"/><w:u w:val="single"/></w:rPr><w:t xml:space="preserve">La Commission européenne remplace le montant de l’amende initialement infligée à une entreprise afin de sanctionner les pratiques de restrictions non déguisées commises sur le marché des puces informatiques (Intel)</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5" w:history="1"><w:r><w:rPr><w:color w:val="#410a8c"/><w:u w:val="single"/></w:rPr><w:t xml:space="preserve">hal-04543897v1</w:t></w:r></w:hyperlink></w:p></w:tc></w:tr><w:tr><w:trPr/><w:tc><w:tcPr><w:noWrap/></w:tcPr><w:p><w:pPr><w:spacing w:after="200"/></w:pPr><w:hyperlink r:id="rId16" w:history="1"><w:r><w:rPr><w:color w:val="1e198e"/><w:b w:val="1"/><w:bCs w:val="1"/><w:u w:val="single"/></w:rPr><w:t xml:space="preserve">Le Tribunal de l’Union européenne annule la décision de la Commission de sanctionner l’opérateur historique pour refus d’accès à des infrastructures gazières stratégiques en Bulgarie (Bulgarian Energy Holding)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6" w:history="1"><w:r><w:rPr><w:color w:val="#410a8c"/><w:u w:val="single"/></w:rPr><w:t xml:space="preserve">hal-04543845v1</w:t></w:r></w:hyperlink></w:p></w:tc></w:tr><w:tr><w:trPr/><w:tc><w:tcPr><w:noWrap/></w:tcPr><w:p><w:pPr><w:spacing w:after="200"/></w:pPr><w:hyperlink r:id="rId17" w:history="1"><w:r><w:rPr><w:color w:val="1e198e"/><w:b w:val="1"/><w:bCs w:val="1"/><w:u w:val="single"/></w:rPr><w:t xml:space="preserve">Digital Markets Act : La Commission européenne désigne deux nouveaux contrôleurs d’accès et ouvre des enquêtes contre trois opérateurs pour non-conformité aux obligations découlant du règlement sur les marchés numériques (Alphabet ; Apple ; Meta)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pp.88-90</w:t></w:r></w:p><w:p><w:pPr/><w:r><w:rPr/><w:t xml:space="preserve">Article dans une revue</w:t></w:r></w:p><w:p><w:pPr/><w:hyperlink r:id="rId17" w:history="1"><w:r><w:rPr><w:color w:val="#410a8c"/><w:u w:val="single"/></w:rPr><w:t xml:space="preserve">hal-05566804v1</w:t></w:r></w:hyperlink></w:p></w:tc></w:tr><w:tr><w:trPr/><w:tc><w:tcPr><w:noWrap/></w:tcPr><w:p><w:pPr><w:spacing w:after="200"/></w:pPr><w:hyperlink r:id="rId18" w:history="1"><w:r><w:rPr><w:color w:val="1e198e"/><w:b w:val="1"/><w:bCs w:val="1"/><w:u w:val="single"/></w:rPr><w:t xml:space="preserve">Auto-préférence : La Cour de justice de l’Union européenne confirme le caractère anticoncurrentiel d’une pratique d’auto-préférence et précise l’approche par les effets (Google Shopping)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4, pp. 108-113</w:t></w:r></w:p><w:p><w:pPr/><w:r><w:rPr/><w:t xml:space="preserve">Article dans une revue</w:t></w:r></w:p><w:p><w:pPr/><w:hyperlink r:id="rId18" w:history="1"><w:r><w:rPr><w:color w:val="#410a8c"/><w:u w:val="single"/></w:rPr><w:t xml:space="preserve">hal-05566794v1</w:t></w:r></w:hyperlink></w:p></w:tc></w:tr><w:tr><w:trPr/><w:tc><w:tcPr><w:noWrap/></w:tcPr><w:p><w:pPr><w:spacing w:after="200"/></w:pPr><w:hyperlink r:id="rId19" w:history="1"><w:r><w:rPr><w:color w:val="1e198e"/><w:b w:val="1"/><w:bCs w:val="1"/><w:u w:val="single"/></w:rPr><w:t xml:space="preserve">La Cour de justice de l’Union européenne précise les conditions d’articulation entre la compétence des juridictions nationales chargées d’appliquer les règles de concurrence et celle de l’autorité de régulation sectorielle en charge du contrôle des redevances d’infrastructures ferroviaires (DB Station & Service / ODEG)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9" w:history="1"><w:r><w:rPr><w:color w:val="#410a8c"/><w:u w:val="single"/></w:rPr><w:t xml:space="preserve">hal-04542792v1</w:t></w:r></w:hyperlink></w:p></w:tc></w:tr><w:tr><w:trPr/><w:tc><w:tcPr><w:noWrap/></w:tcPr><w:p><w:pPr><w:spacing w:after="200"/></w:pPr><w:hyperlink r:id="rId20" w:history="1"><w:r><w:rPr><w:color w:val="1e198e"/><w:b w:val="1"/><w:bCs w:val="1"/><w:u w:val="single"/></w:rPr><w:t xml:space="preserve">La Cour d’appel de Paris réforme intégralement la décision de l’Autorité de la concurrence en rejetant les griefs d’abus de position dominante collective dans le secteur du traitement de la DMLA (Novartis ; Roche ; Genentech)</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0" w:history="1"><w:r><w:rPr><w:color w:val="#410a8c"/><w:u w:val="single"/></w:rPr><w:t xml:space="preserve">hal-04542830v1</w:t></w:r></w:hyperlink></w:p></w:tc></w:tr><w:tr><w:trPr/><w:tc><w:tcPr><w:noWrap/></w:tcPr><w:p><w:pPr><w:spacing w:after="200"/></w:pPr><w:hyperlink r:id="rId21" w:history="1"><w:r><w:rPr><w:color w:val="1e198e"/><w:b w:val="1"/><w:bCs w:val="1"/><w:u w:val="single"/></w:rPr><w:t xml:space="preserve">L’Autorité de la concurrence sanctionne un fournisseur local de gaz naturel pour avoir utilisé les moyens tirés de son activité de fourniture de gaz au tarif réglementé de vente pour développer ses offres de marché en opérant une confusion dans l’esprit des consommateurs (Gaz de Bordeaux)</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1" w:history="1"><w:r><w:rPr><w:color w:val="#410a8c"/><w:u w:val="single"/></w:rPr><w:t xml:space="preserve">hal-04542798v1</w:t></w:r></w:hyperlink></w:p></w:tc></w:tr><w:tr><w:trPr/><w:tc><w:tcPr><w:noWrap/></w:tcPr><w:p><w:pPr><w:spacing w:after="200"/></w:pPr><w:hyperlink r:id="rId22" w:history="1"><w:r><w:rPr><w:color w:val="1e198e"/><w:b w:val="1"/><w:bCs w:val="1"/><w:u w:val="single"/></w:rPr><w:t xml:space="preserve">La Cour de justice de l’Union européenne précise les critères d’imputabilité au producteur dominant d’agissements commis par l’intermédiaire de ses distributeurs et clarifie la portée du test du concurrent aussi efficace en matière de clauses d’exclusivité (Unilever Italia)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2" w:history="1"><w:r><w:rPr><w:color w:val="#410a8c"/><w:u w:val="single"/></w:rPr><w:t xml:space="preserve">hal-04542824v1</w:t></w:r></w:hyperlink></w:p></w:tc></w:tr><w:tr><w:trPr/><w:tc><w:tcPr><w:noWrap/></w:tcPr><w:p><w:pPr><w:spacing w:after="200"/></w:pPr><w:hyperlink r:id="rId23" w:history="1"><w:r><w:rPr><w:color w:val="1e198e"/><w:b w:val="1"/><w:bCs w:val="1"/><w:u w:val="single"/></w:rPr><w:t xml:space="preserve">« CJUE, 27 octobre 2022, DB Station & Services, AG c/ ODEG Ostdeutsche Eisenbahn, aff. C-721/20, EU:C:2022:832 »</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n°1, pp. 71-73</w:t></w:r></w:p><w:p><w:pPr/><w:r><w:rPr/><w:t xml:space="preserve">Article dans une revue</w:t></w:r><w:r><w:rPr/><w:t xml:space="preserve"> (article de synthèse)</w:t></w:r></w:p><w:p><w:pPr/><w:hyperlink r:id="rId23" w:history="1"><w:r><w:rPr><w:color w:val="#410a8c"/><w:u w:val="single"/></w:rPr><w:t xml:space="preserve">hal-04575568v1</w:t></w:r></w:hyperlink></w:p></w:tc></w:tr><w:tr><w:trPr/><w:tc><w:tcPr><w:noWrap/></w:tcPr><w:p><w:pPr><w:spacing w:after="200"/></w:pPr><w:hyperlink r:id="rId24" w:history="1"><w:r><w:rPr><w:color w:val="1e198e"/><w:b w:val="1"/><w:bCs w:val="1"/><w:u w:val="single"/></w:rPr><w:t xml:space="preserve">La Commission européenne modifie ses Orientations de 2008 et annonce de futures lignes directrices afin de clarifier et codifier l’application de l’article 102 TFUE aux pratiques d’éviction abusives</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4" w:history="1"><w:r><w:rPr><w:color w:val="#410a8c"/><w:u w:val="single"/></w:rPr><w:t xml:space="preserve">hal-04542835v1</w:t></w:r></w:hyperlink></w:p></w:tc></w:tr><w:tr><w:trPr/><w:tc><w:tcPr><w:noWrap/></w:tcPr><w:p><w:pPr><w:spacing w:after="200"/></w:pPr><w:hyperlink r:id="rId25" w:history="1"><w:r><w:rPr><w:color w:val="1e198e"/><w:b w:val="1"/><w:bCs w:val="1"/><w:u w:val="single"/></w:rPr><w:t xml:space="preserve">La Cour de justice de l’Union européenne admet la compétence des autorités de concurrence pour sanctionner une violation du Règlement général sur la protection des données au titre de l’abus de position dominante et précise les modalités de coopération avec les autorités de contrôle de ce règlement (Meta)</w:t></w:r></w:hyperlink></w:p><w:p><w:pPr/><w:hyperlink r:id="rId10" w:history="1"><w:r><w:rPr><w:color w:val="#410a8c"/><w:u w:val="single"/></w:rPr><w:t xml:space="preserve">Marie Cartapanis</w:t></w:r></w:hyperlink><w:r><w:rPr/><w:t xml:space="preserve">,</w:t></w: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4-2023</w:t></w:r></w:p><w:p><w:pPr/><w:r><w:rPr/><w:t xml:space="preserve">Article dans une revue</w:t></w:r></w:p><w:p><w:pPr/><w:hyperlink r:id="rId25" w:history="1"><w:r><w:rPr><w:color w:val="#410a8c"/><w:u w:val="single"/></w:rPr><w:t xml:space="preserve">hal-04345416v1</w:t></w:r></w:hyperlink></w:p></w:tc></w:tr><w:tr><w:trPr/><w:tc><w:tcPr><w:noWrap/></w:tcPr><w:p><w:pPr><w:spacing w:after="200"/></w:pPr><w:hyperlink r:id="rId26" w:history="1"><w:r><w:rPr><w:color w:val="1e198e"/><w:b w:val="1"/><w:bCs w:val="1"/><w:u w:val="single"/></w:rPr><w:t xml:space="preserve">L’Autorité de la concurrence sanctionne un organisme de protection sociale complémentaire pour avoir utilisé les moyens tirés de son activité quasi-monopolistique pour développer l’activité de sa filiale sur le marché des prestations de la gestion de la paie des intermittents du spectacle (Audiens SP)</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1</w:t></w:r></w:p><w:p><w:pPr/><w:r><w:rPr/><w:t xml:space="preserve">Article dans une revue</w:t></w:r></w:p><w:p><w:pPr/><w:hyperlink r:id="rId26" w:history="1"><w:r><w:rPr><w:color w:val="#410a8c"/><w:u w:val="single"/></w:rPr><w:t xml:space="preserve">hal-04542816v1</w:t></w:r></w:hyperlink></w:p></w:tc></w:tr><w:tr><w:trPr/><w:tc><w:tcPr><w:noWrap/></w:tcPr><w:p><w:pPr><w:spacing w:after="200"/></w:pPr><w:hyperlink r:id="rId27" w:history="1"><w:r><w:rPr><w:color w:val="1e198e"/><w:b w:val="1"/><w:bCs w:val="1"/><w:u w:val="single"/></w:rPr><w:t xml:space="preserve">Vers la fin d’un modèle ‘ordolibéral’ de régulation du marché</w:t></w:r></w:hyperlink></w:p><w:p><w:pPr/><w:hyperlink r:id="rId8" w:history="1"><w:r><w:rPr><w:color w:val="#410a8c"/><w:u w:val="single"/></w:rPr><w:t xml:space="preserve">Claire Mongouachon</w:t></w:r></w:hyperlink></w:p><w:p><w:pPr/><w:r><w:rPr><w:i w:val="1"/><w:iCs w:val="1"/></w:rPr><w:t xml:space="preserve">Revue Lamy de la Concurrence</w:t></w:r><w:r><w:rPr/><w:t xml:space="preserve">, 2021</w:t></w:r></w:p><w:p><w:pPr/><w:r><w:rPr/><w:t xml:space="preserve">Article dans une revue</w:t></w:r></w:p><w:p><w:pPr/><w:hyperlink r:id="rId27" w:history="1"><w:r><w:rPr><w:color w:val="#410a8c"/><w:u w:val="single"/></w:rPr><w:t xml:space="preserve">hal-04064944v1</w:t></w:r></w:hyperlink></w:p></w:tc></w:tr><w:tr><w:trPr/><w:tc><w:tcPr><w:noWrap/></w:tcPr><w:p><w:pPr><w:spacing w:after="200"/></w:pPr><w:hyperlink r:id="rId28" w:history="1"><w:r><w:rPr><w:color w:val="1e198e"/><w:b w:val="1"/><w:bCs w:val="1"/><w:u w:val="single"/></w:rPr><w:t xml:space="preserve">Ordolibéralisme et discipline budgétaire européenne : forces et limites de l’analogie</w:t></w:r></w:hyperlink></w:p><w:p><w:pPr/><w:hyperlink r:id="rId8" w:history="1"><w:r><w:rPr><w:color w:val="#410a8c"/><w:u w:val="single"/></w:rPr><w:t xml:space="preserve">Claire Mongouachon</w:t></w:r></w:hyperlink></w:p><w:p><w:pPr/><w:r><w:rPr><w:i w:val="1"/><w:iCs w:val="1"/></w:rPr><w:t xml:space="preserve">Politeia [Les Cahiers de l'Association française des auditeurs de l'Académie internationale de droit constitutionnel]</w:t></w:r><w:r><w:rPr/><w:t xml:space="preserve">, 2019</w:t></w:r></w:p><w:p><w:pPr/><w:r><w:rPr/><w:t xml:space="preserve">Article dans une revue</w:t></w:r></w:p><w:p><w:pPr/><w:hyperlink r:id="rId28" w:history="1"><w:r><w:rPr><w:color w:val="#410a8c"/><w:u w:val="single"/></w:rPr><w:t xml:space="preserve">hal-04064920v1</w:t></w:r></w:hyperlink></w:p></w:tc></w:tr><w:tr><w:trPr/><w:tc><w:tcPr><w:noWrap/></w:tcPr><w:p><w:pPr><w:spacing w:after="200"/></w:pPr><w:hyperlink r:id="rId29" w:history="1"><w:r><w:rPr><w:color w:val="1e198e"/><w:b w:val="1"/><w:bCs w:val="1"/><w:u w:val="single"/></w:rPr><w:t xml:space="preserve">LE DROIT EUROPÉEN DE LA CONCURRENCE FACE À SES FINALITÉS: UN DÉBAT PHILOSOPHIQUE</w:t></w:r></w:hyperlink></w:p><w:p><w:pPr/><w:hyperlink r:id="rId8" w:history="1"><w:r><w:rPr><w:color w:val="#410a8c"/><w:u w:val="single"/></w:rPr><w:t xml:space="preserve">Claire Mongouachon</w:t></w:r></w:hyperlink></w:p><w:p><w:pPr/><w:r><w:rPr><w:i w:val="1"/><w:iCs w:val="1"/></w:rPr><w:t xml:space="preserve">Revue de la Recherche Juridique - Droit prospectif</w:t></w:r><w:r><w:rPr/><w:t xml:space="preserve">, 2018, Doctrine juridique et philosophie politique et morale (dir. J.-Y. Chérot)</w:t></w:r></w:p><w:p><w:pPr/><w:r><w:rPr/><w:t xml:space="preserve">Article dans une revue</w:t></w:r></w:p><w:p><w:pPr/><w:hyperlink r:id="rId29" w:history="1"><w:r><w:rPr><w:color w:val="#410a8c"/><w:u w:val="single"/></w:rPr><w:t xml:space="preserve">hal-02011886v1</w:t></w:r></w:hyperlink></w:p></w:tc></w:tr><w:tr><w:trPr/><w:tc><w:tcPr><w:noWrap/></w:tcPr><w:p><w:pPr><w:spacing w:after="200"/></w:pPr><w:hyperlink r:id="rId30" w:history="1"><w:r><w:rPr><w:color w:val="1e198e"/><w:b w:val="1"/><w:bCs w:val="1"/><w:u w:val="single"/></w:rPr><w:t xml:space="preserve">La place du Parlement européen dans le modèle institutionnel de concurrence de l'Union européenne</w:t></w:r></w:hyperlink></w:p><w:p><w:pPr/><w:hyperlink r:id="rId8" w:history="1"><w:r><w:rPr><w:color w:val="#410a8c"/><w:u w:val="single"/></w:rPr><w:t xml:space="preserve">Claire Mongouachon</w:t></w:r></w:hyperlink><w:r><w:rPr/><w:t xml:space="preserve">,</w:t></w:r><w:hyperlink r:id="rId31" w:history="1"><w:r><w:rPr><w:color w:val="#410a8c"/><w:u w:val="single"/></w:rPr><w:t xml:space="preserve">Lionel Zevounou</w:t></w:r></w:hyperlink></w:p><w:p><w:pPr/><w:r><w:rPr><w:i w:val="1"/><w:iCs w:val="1"/></w:rPr><w:t xml:space="preserve">Concurrences [Competition law journal / Revue des droits de la concurrence]</w:t></w:r><w:r><w:rPr/><w:t xml:space="preserve">, 2018, 3, pp.67-77</w:t></w:r></w:p><w:p><w:pPr/><w:r><w:rPr/><w:t xml:space="preserve">Article dans une revue</w:t></w:r></w:p><w:p><w:pPr/><w:hyperlink r:id="rId30" w:history="1"><w:r><w:rPr><w:color w:val="#410a8c"/><w:u w:val="single"/></w:rPr><w:t xml:space="preserve">hal-01825906v1</w:t></w:r></w:hyperlink></w:p></w:tc></w:tr><w:tr><w:trPr/><w:tc><w:tcPr><w:noWrap/></w:tcPr><w:p><w:pPr><w:spacing w:after="200"/></w:pPr><w:hyperlink r:id="rId32" w:history="1"><w:r><w:rPr><w:color w:val="1e198e"/><w:b w:val="1"/><w:bCs w:val="1"/><w:u w:val="single"/></w:rPr><w:t xml:space="preserve">Principe d'égalité et concurrence dans la jurisprudence du Conseil constitutionnel</w:t></w:r></w:hyperlink></w:p><w:p><w:pPr/><w:hyperlink r:id="rId8" w:history="1"><w:r><w:rPr><w:color w:val="#410a8c"/><w:u w:val="single"/></w:rPr><w:t xml:space="preserve">Claire Mongouachon</w:t></w:r></w:hyperlink></w:p><w:p><w:pPr/><w:r><w:rPr><w:i w:val="1"/><w:iCs w:val="1"/></w:rPr><w:t xml:space="preserve">La Revue des droits de l'Homme</w:t></w:r><w:r><w:rPr/><w:t xml:space="preserve">, 2017</w:t></w:r></w:p><w:p><w:pPr/><w:r><w:rPr/><w:t xml:space="preserve">Article dans une revue</w:t></w:r></w:p><w:p><w:pPr/><w:hyperlink r:id="rId32" w:history="1"><w:r><w:rPr><w:color w:val="#410a8c"/><w:u w:val="single"/></w:rPr><w:t xml:space="preserve">hal-01685093v1</w:t></w:r></w:hyperlink></w:p></w:tc></w:tr><w:tr><w:trPr/><w:tc><w:tcPr><w:noWrap/></w:tcPr><w:p><w:pPr><w:spacing w:after="200"/></w:pPr><w:hyperlink r:id="rId33" w:history="1"><w:r><w:rPr><w:color w:val="1e198e"/><w:b w:val="1"/><w:bCs w:val="1"/><w:u w:val="single"/></w:rPr><w:t xml:space="preserve">Le contrôle des tarifs pratiqués par le fournisseur historique du gaz naturel sur ses offres de marché : un contrôle sous stricte surveillance de l'Autorité de la concurrence</w:t></w:r></w:hyperlink></w:p><w:p><w:pPr/><w:hyperlink r:id="rId8" w:history="1"><w:r><w:rPr><w:color w:val="#410a8c"/><w:u w:val="single"/></w:rPr><w:t xml:space="preserve">Claire Mongouachon</w:t></w:r></w:hyperlink></w:p><w:p><w:pPr/><w:r><w:rPr><w:i w:val="1"/><w:iCs w:val="1"/></w:rPr><w:t xml:space="preserve">Revue Lamy de la Concurrence</w:t></w:r><w:r><w:rPr/><w:t xml:space="preserve">, 2016, 52, pp.11-17</w:t></w:r></w:p><w:p><w:pPr/><w:r><w:rPr/><w:t xml:space="preserve">Article dans une revue</w:t></w:r></w:p><w:p><w:pPr/><w:hyperlink r:id="rId33" w:history="1"><w:r><w:rPr><w:color w:val="#410a8c"/><w:u w:val="single"/></w:rPr><w:t xml:space="preserve">hal-01812298v1</w:t></w:r></w:hyperlink></w:p></w:tc></w:tr><w:tr><w:trPr/><w:tc><w:tcPr><w:noWrap/></w:tcPr><w:p><w:pPr><w:spacing w:after="200"/></w:pPr><w:hyperlink r:id="rId34" w:history="1"><w:r><w:rPr><w:color w:val="1e198e"/><w:b w:val="1"/><w:bCs w:val="1"/><w:u w:val="single"/></w:rPr><w:t xml:space="preserve">L'émergence de la notion d'administrations publiques en droit public financier -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2015, 11, pp.26</w:t></w:r></w:p><w:p><w:pPr/><w:r><w:rPr/><w:t xml:space="preserve">Article dans une revue</w:t></w:r></w:p><w:p><w:pPr/><w:hyperlink r:id="rId34" w:history="1"><w:r><w:rPr><w:color w:val="#410a8c"/><w:u w:val="single"/></w:rPr><w:t xml:space="preserve">hal-01812339v1</w:t></w:r></w:hyperlink></w:p></w:tc></w:tr><w:tr><w:trPr/><w:tc><w:tcPr><w:noWrap/></w:tcPr><w:p><w:pPr><w:spacing w:after="200"/></w:pPr><w:hyperlink r:id="rId35" w:history="1"><w:r><w:rPr><w:color w:val="1e198e"/><w:b w:val="1"/><w:bCs w:val="1"/><w:u w:val="single"/></w:rPr><w:t xml:space="preserve">L'application du droit de la concurrence aux personnes publiques implique une (re)définition claire des missions de service public, commentaire des avis de l'Autorité de la concurrence, n°14-A-10, n°4-A-11 et n°14-A-12 du 31 juillet 2014</w:t></w:r></w:hyperlink></w:p><w:p><w:pPr/><w:hyperlink r:id="rId8" w:history="1"><w:r><w:rPr><w:color w:val="#410a8c"/><w:u w:val="single"/></w:rPr><w:t xml:space="preserve">Claire Mongouachon</w:t></w:r></w:hyperlink></w:p><w:p><w:pPr/><w:r><w:rPr><w:i w:val="1"/><w:iCs w:val="1"/></w:rPr><w:t xml:space="preserve">Revue Lamy de la Concurrence</w:t></w:r><w:r><w:rPr/><w:t xml:space="preserve">, 2015, 42, pp.55-59</w:t></w:r></w:p><w:p><w:pPr/><w:r><w:rPr/><w:t xml:space="preserve">Article dans une revue</w:t></w:r></w:p><w:p><w:pPr/><w:hyperlink r:id="rId35" w:history="1"><w:r><w:rPr><w:color w:val="#410a8c"/><w:u w:val="single"/></w:rPr><w:t xml:space="preserve">hal-01812369v1</w:t></w:r></w:hyperlink></w:p></w:tc></w:tr><w:tr><w:trPr/><w:tc><w:tcPr><w:noWrap/></w:tcPr><w:p><w:pPr><w:spacing w:after="200"/></w:pPr><w:hyperlink r:id="rId36" w:history="1"><w:r><w:rPr><w:color w:val="1e198e"/><w:b w:val="1"/><w:bCs w:val="1"/><w:u w:val="single"/></w:rPr><w:t xml:space="preserve">Les opérateurs publics face à la mondialisation du droit des abus de position dominante</w:t></w:r></w:hyperlink></w:p><w:p><w:pPr/><w:hyperlink r:id="rId8" w:history="1"><w:r><w:rPr><w:color w:val="#410a8c"/><w:u w:val="single"/></w:rPr><w:t xml:space="preserve">Claire Mongouachon</w:t></w:r></w:hyperlink></w:p><w:p><w:pPr/><w:r><w:rPr><w:i w:val="1"/><w:iCs w:val="1"/></w:rPr><w:t xml:space="preserve">Contrats Concurrence Consommation</w:t></w:r><w:r><w:rPr/><w:t xml:space="preserve">, 2013, 1</w:t></w:r></w:p><w:p><w:pPr/><w:r><w:rPr/><w:t xml:space="preserve">Article dans une revue</w:t></w:r></w:p><w:p><w:pPr/><w:hyperlink r:id="rId36" w:history="1"><w:r><w:rPr><w:color w:val="#410a8c"/><w:u w:val="single"/></w:rPr><w:t xml:space="preserve">hal-01812435v1</w:t></w:r></w:hyperlink></w:p></w:tc></w:tr><w:tr><w:trPr/><w:tc><w:tcPr><w:noWrap/></w:tcPr><w:p><w:pPr><w:spacing w:after="200"/></w:pPr><w:hyperlink r:id="rId37" w:history="1"><w:r><w:rPr><w:color w:val="1e198e"/><w:b w:val="1"/><w:bCs w:val="1"/><w:u w:val="single"/></w:rPr><w:t xml:space="preserve">Le concept de coût incrémental : une technique d'aménagement du contrôle des prix prédateurs des opérateurs en charge d'une mission de service public.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2013, 3, pp.26-27</w:t></w:r></w:p><w:p><w:pPr/><w:r><w:rPr/><w:t xml:space="preserve">Article dans une revue</w:t></w:r></w:p><w:p><w:pPr/><w:hyperlink r:id="rId37" w:history="1"><w:r><w:rPr><w:color w:val="#410a8c"/><w:u w:val="single"/></w:rPr><w:t xml:space="preserve">hal-01812421v1</w:t></w:r></w:hyperlink></w:p></w:tc></w:tr><w:tr><w:trPr/><w:tc><w:tcPr><w:noWrap/></w:tcPr><w:p><w:pPr><w:spacing w:after="200"/></w:pPr><w:hyperlink r:id="rId38" w:history="1"><w:r><w:rPr><w:color w:val="1e198e"/><w:b w:val="1"/><w:bCs w:val="1"/><w:u w:val="single"/></w:rPr><w:t xml:space="preserve">Les débats sur la Constitution économique en Allemagne</w:t></w:r></w:hyperlink></w:p><w:p><w:pPr/><w:hyperlink r:id="rId8" w:history="1"><w:r><w:rPr><w:color w:val="#410a8c"/><w:u w:val="single"/></w:rPr><w:t xml:space="preserve">Claire Mongouachon</w:t></w:r></w:hyperlink></w:p><w:p><w:pPr/><w:r><w:rPr><w:i w:val="1"/><w:iCs w:val="1"/></w:rPr><w:t xml:space="preserve">Revue française de droit constitutionnel</w:t></w:r><w:r><w:rPr/><w:t xml:space="preserve">, 2012, 90 (2), pp.303-337. </w:t></w:r><w:hyperlink r:id="rId39" w:history="1"><w:r><w:rPr><w:color w:val="#410a8c"/><w:u w:val="single"/></w:rPr><w:t xml:space="preserve">⟨10.3917/rfdc.090.0303⟩</w:t></w:r></w:hyperlink></w:p><w:p><w:pPr/><w:r><w:rPr/><w:t xml:space="preserve">Article dans une revue</w:t></w:r></w:p><w:p><w:pPr/><w:hyperlink r:id="rId38" w:history="1"><w:r><w:rPr><w:color w:val="#410a8c"/><w:u w:val="single"/></w:rPr><w:t xml:space="preserve">hal-01685110v1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droit européen devant le juge national »</w:t></w:r></w:hyperlink></w:p><w:p><w:pPr/><w:hyperlink r:id="rId8" w:history="1"><w:r><w:rPr><w:color w:val="#410a8c"/><w:u w:val="single"/></w:rPr><w:t xml:space="preserve">Claire Mongouachon</w:t></w:r></w:hyperlink></w:p><w:p><w:pPr/><w:r><w:rPr><w:i w:val="1"/><w:iCs w:val="1"/></w:rPr><w:t xml:space="preserve">14ème session des Universités internationales d’été du Mercantour</w:t></w:r><w:r><w:rPr/><w:t xml:space="preserve">, Sep 2023, Saint-Martin-Vésubie, France</w:t></w:r></w:p><w:p><w:pPr/><w:r><w:rPr/><w:t xml:space="preserve">Communication dans un congrès</w:t></w:r></w:p><w:p><w:pPr/><w:hyperlink r:id="rId40" w:history="1"><w:r><w:rPr><w:color w:val="#410a8c"/><w:u w:val="single"/></w:rPr><w:t xml:space="preserve">hal-04580251v1</w:t></w:r></w:hyperlink></w:p></w:tc></w:tr><w:tr><w:trPr/><w:tc><w:tcPr><w:noWrap/></w:tcPr><w:p><w:pPr><w:spacing w:after="200"/></w:pPr><w:hyperlink r:id="rId41" w:history="1"><w:r><w:rPr><w:color w:val="1e198e"/><w:b w:val="1"/><w:bCs w:val="1"/><w:u w:val="single"/></w:rPr><w:t xml:space="preserve">« Vers une fonction redistributive des règles budgétaires européennes ? »</w:t></w:r></w:hyperlink></w:p><w:p><w:pPr/><w:hyperlink r:id="rId8" w:history="1"><w:r><w:rPr><w:color w:val="#410a8c"/><w:u w:val="single"/></w:rPr><w:t xml:space="preserve">Claire Mongouachon</w:t></w:r></w:hyperlink></w:p><w:p><w:pPr/><w:r><w:rPr><w:i w:val="1"/><w:iCs w:val="1"/></w:rPr><w:t xml:space="preserve">Séminaire itinérant du GIS Eurolab Quel contrat social pour l’Union européenne ? réflexions sur la répartition des charges et des avantages dans l’Union,</w:t></w:r><w:r><w:rPr/><w:t xml:space="preserve">, Aix-Marseille Université, May 2023, Aix-en-Provence, France</w:t></w:r></w:p><w:p><w:pPr/><w:r><w:rPr/><w:t xml:space="preserve">Communication dans un congrès</w:t></w:r></w:p><w:p><w:pPr/><w:hyperlink r:id="rId41" w:history="1"><w:r><w:rPr><w:color w:val="#410a8c"/><w:u w:val="single"/></w:rPr><w:t xml:space="preserve">hal-04580250v1</w:t></w:r></w:hyperlink></w:p></w:tc></w:tr><w:tr><w:trPr/><w:tc><w:tcPr><w:noWrap/></w:tcPr><w:p><w:pPr><w:spacing w:after="200"/></w:pPr><w:hyperlink r:id="rId42" w:history="1"><w:r><w:rPr><w:color w:val="1e198e"/><w:b w:val="1"/><w:bCs w:val="1"/><w:u w:val="single"/></w:rPr><w:t xml:space="preserve">La notion d'administrations publiques : enjeux et méthodes de délimitation</w:t></w:r></w:hyperlink></w:p><w:p><w:pPr/><w:hyperlink r:id="rId8" w:history="1"><w:r><w:rPr><w:color w:val="#410a8c"/><w:u w:val="single"/></w:rPr><w:t xml:space="preserve">Claire Mongouachon</w:t></w:r></w:hyperlink></w:p><w:p><w:pPr/><w:r><w:rPr><w:i w:val="1"/><w:iCs w:val="1"/></w:rPr><w:t xml:space="preserve">Droit et comptabilité: la spécificité des comptes publics</w:t></w:r><w:r><w:rPr/><w:t xml:space="preserve">, Jan 2016, Nanterre, France. pp.241-256</w:t></w:r></w:p><w:p><w:pPr/><w:r><w:rPr/><w:t xml:space="preserve">Communication dans un congrès</w:t></w:r></w:p><w:p><w:pPr/><w:hyperlink r:id="rId42" w:history="1"><w:r><w:rPr><w:color w:val="#410a8c"/><w:u w:val="single"/></w:rPr><w:t xml:space="preserve">hal-01812288v1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La constitution économique: en hommage au professeur Guy Carcassonne: actes du colloque organisé par le Centre de recherches sur le droit public de l'Université Paris Ouest Nanterre La Défense</w:t></w:r></w:hyperlink></w:p><w:p><w:pPr/><w:hyperlink r:id="rId44" w:history="1"><w:r><w:rPr><w:color w:val="#410a8c"/><w:u w:val="single"/></w:rPr><w:t xml:space="preserve">Francesco Martucci</w:t></w:r></w:hyperlink><w:r><w:rPr/><w:t xml:space="preserve">,</w:t></w:r><w:hyperlink r:id="rId8" w:history="1"><w:r><w:rPr><w:color w:val="#410a8c"/><w:u w:val="single"/></w:rPr><w:t xml:space="preserve">Claire Mongouachon</w:t></w:r></w:hyperlink></w:p><w:p><w:pPr/><w:r><w:rPr/><w:t xml:space="preserve">Editions La Mémoire du Droit, 2015, 978-2-84539-037-9</w:t></w:r></w:p><w:p><w:pPr/><w:r><w:rPr/><w:t xml:space="preserve">Ouvrages</w:t></w:r></w:p><w:p><w:pPr/><w:hyperlink r:id="rId43" w:history="1"><w:r><w:rPr><w:color w:val="#410a8c"/><w:u w:val="single"/></w:rPr><w:t xml:space="preserve">hal-01812365v1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Commentaire de l'arrêt du Tribunal des conflits, 6 juin 1989, n° 02578, Ville de Pamiers</w:t></w:r></w:hyperlink></w:p><w:p><w:pPr/><w:hyperlink r:id="rId8" w:history="1"><w:r><w:rPr><w:color w:val="#410a8c"/><w:u w:val="single"/></w:rPr><w:t xml:space="preserve">Claire Mongouachon</w:t></w:r></w:hyperlink></w:p><w:p><w:pPr/><w:r><w:rPr/><w:t xml:space="preserve">Thomas Perroud; Jacques Caillose; Jacques Chevallier; Danièle Lochak. </w:t></w:r><w:r><w:rPr><w:i w:val="1"/><w:iCs w:val="1"/></w:rPr><w:t xml:space="preserve">Les grands arrêts de la jurisprudence administrative : Approche politique</w:t></w:r><w:r><w:rPr/><w:t xml:space="preserve">, LGDJ, 2024</w:t></w:r></w:p><w:p><w:pPr/><w:r><w:rPr/><w:t xml:space="preserve">Chapitre d'ouvrage</w:t></w:r></w:p><w:p><w:pPr/><w:hyperlink r:id="rId45" w:history="1"><w:r><w:rPr><w:color w:val="#410a8c"/><w:u w:val="single"/></w:rPr><w:t xml:space="preserve">hal-04543867v1</w:t></w:r></w:hyperlink></w:p></w:tc></w:tr><w:tr><w:trPr/><w:tc><w:tcPr><w:noWrap/></w:tcPr><w:p><w:pPr><w:spacing w:after="200"/></w:pPr><w:hyperlink r:id="rId46" w:history="1"><w:r><w:rPr><w:color w:val="1e198e"/><w:b w:val="1"/><w:bCs w:val="1"/><w:u w:val="single"/></w:rPr><w:t xml:space="preserve">La gouvernance budgétaire européenne : tentative de relecture à l'aune du concept de politisation</w:t></w:r></w:hyperlink></w:p><w:p><w:pPr/><w:hyperlink r:id="rId8" w:history="1"><w:r><w:rPr><w:color w:val="#410a8c"/><w:u w:val="single"/></w:rPr><w:t xml:space="preserve">Claire Mongouachon</w:t></w:r></w:hyperlink></w:p><w:p><w:pPr/><w:r><w:rPr/><w:t xml:space="preserve">Frédéric Rouvière; Valérie Michel; Emmanuel Putman; Vincent Réveillère. </w:t></w:r><w:r><w:rPr><w:i w:val="1"/><w:iCs w:val="1"/></w:rPr><w:t xml:space="preserve">Liber Amicorum Jean-Yves Chérot - Le droit entre théorie et pratique</w:t></w:r><w:r><w:rPr/><w:t xml:space="preserve">, 2023, 9782802773122</w:t></w:r></w:p><w:p><w:pPr/><w:r><w:rPr/><w:t xml:space="preserve">Chapitre d'ouvrage</w:t></w:r></w:p><w:p><w:pPr/><w:hyperlink r:id="rId46" w:history="1"><w:r><w:rPr><w:color w:val="#410a8c"/><w:u w:val="single"/></w:rPr><w:t xml:space="preserve">hal-04542146v1</w:t></w:r></w:hyperlink></w:p></w:tc></w:tr><w:tr><w:trPr/><w:tc><w:tcPr><w:noWrap/></w:tcPr><w:p><w:pPr><w:spacing w:after="200"/></w:pPr><w:hyperlink r:id="rId47" w:history="1"><w:r><w:rPr><w:color w:val="1e198e"/><w:b w:val="1"/><w:bCs w:val="1"/><w:u w:val="single"/></w:rPr><w:t xml:space="preserve">The Debate on the Revision of the European Fiscal Rules: Towards More Political Governance of the EMU ?</w:t></w:r></w:hyperlink></w:p><w:p><w:pPr/><w:hyperlink r:id="rId8" w:history="1"><w:r><w:rPr><w:color w:val="#410a8c"/><w:u w:val="single"/></w:rPr><w:t xml:space="preserve">Claire Mongouachon</w:t></w:r></w:hyperlink></w:p><w:p><w:pPr/><w:r><w:rPr/><w:t xml:space="preserve">Ruth Weber. </w:t></w:r><w:r><w:rPr><w:i w:val="1"/><w:iCs w:val="1"/></w:rPr><w:t xml:space="preserve">The Financial Constitution of European Integration</w:t></w:r><w:r><w:rPr/><w:t xml:space="preserve">, 2023, 9781509969920</w:t></w:r></w:p><w:p><w:pPr/><w:r><w:rPr/><w:t xml:space="preserve">Chapitre d'ouvrage</w:t></w:r></w:p><w:p><w:pPr/><w:hyperlink r:id="rId47" w:history="1"><w:r><w:rPr><w:color w:val="#410a8c"/><w:u w:val="single"/></w:rPr><w:t xml:space="preserve">hal-04542732v1</w:t></w:r></w:hyperlink></w:p></w:tc></w:tr><w:tr><w:trPr/><w:tc><w:tcPr><w:noWrap/></w:tcPr><w:p><w:pPr><w:spacing w:after="200"/></w:pPr><w:hyperlink r:id="rId48" w:history="1"><w:r><w:rPr><w:color w:val="1e198e"/><w:b w:val="1"/><w:bCs w:val="1"/><w:u w:val="single"/></w:rPr><w:t xml:space="preserve">Les difficultés d’une interprétation ordolibérale de la constitution micro-économique de l’Union européenne</w:t></w:r></w:hyperlink></w:p><w:p><w:pPr/><w:hyperlink r:id="rId8" w:history="1"><w:r><w:rPr><w:color w:val="#410a8c"/><w:u w:val="single"/></w:rPr><w:t xml:space="preserve">Claire Mongouachon</w:t></w:r></w:hyperlink></w:p><w:p><w:pPr/><w:r><w:rPr><w:i w:val="1"/><w:iCs w:val="1"/></w:rPr><w:t xml:space="preserve">The Idea of Economic Constitution in Europe</w:t></w:r><w:r><w:rPr/><w:t xml:space="preserve">, Brill | Nijhoff, pp.344-379, 2022, </w:t></w:r><w:hyperlink r:id="rId49" w:history="1"><w:r><w:rPr><w:color w:val="#410a8c"/><w:u w:val="single"/></w:rPr><w:t xml:space="preserve">⟨10.1163/9789004519350_013⟩</w:t></w:r></w:hyperlink></w:p><w:p><w:pPr/><w:r><w:rPr/><w:t xml:space="preserve">Chapitre d'ouvrage</w:t></w:r></w:p><w:p><w:pPr/><w:hyperlink r:id="rId48" w:history="1"><w:r><w:rPr><w:color w:val="#410a8c"/><w:u w:val="single"/></w:rPr><w:t xml:space="preserve">hal-04064972v1</w:t></w:r></w:hyperlink></w:p></w:tc></w:tr><w:tr><w:trPr/><w:tc><w:tcPr><w:noWrap/></w:tcPr><w:p><w:pPr><w:spacing w:after="200"/></w:pPr><w:hyperlink r:id="rId50" w:history="1"><w:r><w:rPr><w:color w:val="1e198e"/><w:b w:val="1"/><w:bCs w:val="1"/><w:u w:val="single"/></w:rPr><w:t xml:space="preserve">Concurrence et démocratie</w:t></w:r></w:hyperlink></w:p><w:p><w:pPr/><w:hyperlink r:id="rId8" w:history="1"><w:r><w:rPr><w:color w:val="#410a8c"/><w:u w:val="single"/></w:rPr><w:t xml:space="preserve">Claire Mongouachon</w:t></w:r></w:hyperlink></w:p><w:p><w:pPr/><w:r><w:rPr><w:i w:val="1"/><w:iCs w:val="1"/></w:rPr><w:t xml:space="preserve">Démocratie et marché dans l'Union européenne</w:t></w:r><w:r><w:rPr/><w:t xml:space="preserve">, 2021, 978-2-8027-6617-9</w:t></w:r></w:p><w:p><w:pPr/><w:r><w:rPr/><w:t xml:space="preserve">Chapitre d'ouvrage</w:t></w:r></w:p><w:p><w:pPr/><w:hyperlink r:id="rId50" w:history="1"><w:r><w:rPr><w:color w:val="#410a8c"/><w:u w:val="single"/></w:rPr><w:t xml:space="preserve">hal-04064880v1</w:t></w:r></w:hyperlink></w:p></w:tc></w:tr><w:tr><w:trPr/><w:tc><w:tcPr><w:noWrap/></w:tcPr><w:p><w:pPr><w:spacing w:after="200"/></w:pPr><w:hyperlink r:id="rId51" w:history="1"><w:r><w:rPr><w:color w:val="1e198e"/><w:b w:val="1"/><w:bCs w:val="1"/><w:u w:val="single"/></w:rPr><w:t xml:space="preserve">Les cours constitutionnelles et l’interprétation capitaliste de la Constitution en France et en Allemagne</w:t></w:r></w:hyperlink></w:p><w:p><w:pPr/><w:hyperlink r:id="rId8" w:history="1"><w:r><w:rPr><w:color w:val="#410a8c"/><w:u w:val="single"/></w:rPr><w:t xml:space="preserve">Claire Mongouachon</w:t></w:r></w:hyperlink></w:p><w:p><w:pPr/><w:r><w:rPr><w:i w:val="1"/><w:iCs w:val="1"/></w:rPr><w:t xml:space="preserve">Capitalisme, libéralisme et constitutionnalisme</w:t></w:r><w:r><w:rPr/><w:t xml:space="preserve">, 2021, 978-2-84934-512-2</w:t></w:r></w:p><w:p><w:pPr/><w:r><w:rPr/><w:t xml:space="preserve">Chapitre d'ouvrage</w:t></w:r></w:p><w:p><w:pPr/><w:hyperlink r:id="rId51" w:history="1"><w:r><w:rPr><w:color w:val="#410a8c"/><w:u w:val="single"/></w:rPr><w:t xml:space="preserve">hal-04064842v1</w:t></w:r></w:hyperlink></w:p></w:tc></w:tr><w:tr><w:trPr/><w:tc><w:tcPr><w:noWrap/></w:tcPr><w:p><w:pPr><w:spacing w:after="200"/></w:pPr><w:hyperlink r:id="rId52" w:history="1"><w:r><w:rPr><w:color w:val="1e198e"/><w:b w:val="1"/><w:bCs w:val="1"/><w:u w:val="single"/></w:rPr><w:t xml:space="preserve">Commentaire de l’arrêt: Tribunal des conflits, 6 juin 1989, Ville de Pamiers</w:t></w:r></w:hyperlink></w:p><w:p><w:pPr/><w:hyperlink r:id="rId8" w:history="1"><w:r><w:rPr><w:color w:val="#410a8c"/><w:u w:val="single"/></w:rPr><w:t xml:space="preserve">Claire Mongouachon</w:t></w:r></w:hyperlink></w:p><w:p><w:pPr/><w:r><w:rPr/><w:t xml:space="preserve">Th. Perroud. </w:t></w:r><w:r><w:rPr><w:i w:val="1"/><w:iCs w:val="1"/></w:rPr><w:t xml:space="preserve">Les grands arrêts politiques de la jurisprudence administrative</w:t></w:r><w:r><w:rPr/><w:t xml:space="preserve">, LGDJ, 2019</w:t></w:r></w:p><w:p><w:pPr/><w:r><w:rPr/><w:t xml:space="preserve">Chapitre d'ouvrage</w:t></w:r></w:p><w:p><w:pPr/><w:hyperlink r:id="rId52" w:history="1"><w:r><w:rPr><w:color w:val="#410a8c"/><w:u w:val="single"/></w:rPr><w:t xml:space="preserve">hal-02349145v1</w:t></w:r></w:hyperlink></w:p></w:tc></w:tr><w:tr><w:trPr/><w:tc><w:tcPr><w:noWrap/></w:tcPr><w:p><w:pPr><w:spacing w:after="200"/></w:pPr><w:hyperlink r:id="rId53" w:history="1"><w:r><w:rPr><w:color w:val="1e198e"/><w:b w:val="1"/><w:bCs w:val="1"/><w:u w:val="single"/></w:rPr><w:t xml:space="preserve">Questionnements sur l’éviction de l’économie des exigences impérieuses d’intérêt général</w:t></w:r></w:hyperlink></w:p><w:p><w:pPr/><w:hyperlink r:id="rId8" w:history="1"><w:r><w:rPr><w:color w:val="#410a8c"/><w:u w:val="single"/></w:rPr><w:t xml:space="preserve">Claire Mongouachon</w:t></w:r></w:hyperlink></w:p><w:p><w:pPr/><w:r><w:rPr/><w:t xml:space="preserve">Augustin Boujeka, Thomas Habu Groud et Lionel Zevounou. </w:t></w:r><w:r><w:rPr><w:i w:val="1"/><w:iCs w:val="1"/></w:rPr><w:t xml:space="preserve">Les libertés européennes de circulation au-delà de l’économie</w:t></w:r><w:r><w:rPr/><w:t xml:space="preserve">, Mare et martin, pp.35-56, 2019</w:t></w:r></w:p><w:p><w:pPr/><w:r><w:rPr/><w:t xml:space="preserve">Chapitre d'ouvrage</w:t></w:r></w:p><w:p><w:pPr/><w:hyperlink r:id="rId53" w:history="1"><w:r><w:rPr><w:color w:val="#410a8c"/><w:u w:val="single"/></w:rPr><w:t xml:space="preserve">hal-02349119v1</w:t></w:r></w:hyperlink></w:p></w:tc></w:tr><w:tr><w:trPr/><w:tc><w:tcPr><w:noWrap/></w:tcPr><w:p><w:pPr><w:spacing w:after="200"/></w:pPr><w:hyperlink r:id="rId54" w:history="1"><w:r><w:rPr><w:color w:val="1e198e"/><w:b w:val="1"/><w:bCs w:val="1"/><w:u w:val="single"/></w:rPr><w:t xml:space="preserve">Entre théories économiques et volonté politique, la constitution monétaire de l'Union en débat</w:t></w:r></w:hyperlink></w:p><w:p><w:pPr/><w:hyperlink r:id="rId8" w:history="1"><w:r><w:rPr><w:color w:val="#410a8c"/><w:u w:val="single"/></w:rPr><w:t xml:space="preserve">Claire Mongouachon</w:t></w:r></w:hyperlink></w:p><w:p><w:pPr/><w:r><w:rPr><w:i w:val="1"/><w:iCs w:val="1"/></w:rPr><w:t xml:space="preserve">L'avenir de l'Union économique et monétaire: une perspective franco-allemande</w:t></w:r><w:r><w:rPr/><w:t xml:space="preserve">, 2018</w:t></w:r></w:p><w:p><w:pPr/><w:r><w:rPr/><w:t xml:space="preserve">Chapitre d'ouvrage</w:t></w:r></w:p><w:p><w:pPr/><w:hyperlink r:id="rId54" w:history="1"><w:r><w:rPr><w:color w:val="#410a8c"/><w:u w:val="single"/></w:rPr><w:t xml:space="preserve">hal-02011859v1</w:t></w:r></w:hyperlink></w:p></w:tc></w:tr><w:tr><w:trPr/><w:tc><w:tcPr><w:noWrap/></w:tcPr><w:p><w:pPr><w:spacing w:after="200"/></w:pPr><w:hyperlink r:id="rId55" w:history="1"><w:r><w:rPr><w:color w:val="1e198e"/><w:b w:val="1"/><w:bCs w:val="1"/><w:u w:val="single"/></w:rPr><w:t xml:space="preserve">Pour une concurrence régulée: l'apport de Leonhard Miksch</w:t></w:r></w:hyperlink></w:p><w:p><w:pPr/><w:hyperlink r:id="rId8" w:history="1"><w:r><w:rPr><w:color w:val="#410a8c"/><w:u w:val="single"/></w:rPr><w:t xml:space="preserve">Claire Mongouachon</w:t></w:r></w:hyperlink></w:p><w:p><w:pPr/><w:r><w:rPr/><w:t xml:space="preserve">Rabault Hugues. </w:t></w:r><w:r><w:rPr><w:i w:val="1"/><w:iCs w:val="1"/></w:rPr><w:t xml:space="preserve">L'ordolibéralisme, aux origines de l'école de Fribourg-en-Brisgau</w:t></w:r><w:r><w:rPr/><w:t xml:space="preserve">, L'Harmattan, pp.161-189, 2016, Questionner l'Europe, 978-2-343-09120-4</w:t></w:r></w:p><w:p><w:pPr/><w:r><w:rPr/><w:t xml:space="preserve">Chapitre d'ouvrage</w:t></w:r></w:p><w:p><w:pPr/><w:hyperlink r:id="rId55" w:history="1"><w:r><w:rPr><w:color w:val="#410a8c"/><w:u w:val="single"/></w:rPr><w:t xml:space="preserve">hal-01812303v1</w:t></w:r></w:hyperlink></w:p></w:tc></w:tr><w:tr><w:trPr/><w:tc><w:tcPr><w:noWrap/></w:tcPr><w:p><w:pPr><w:spacing w:after="200"/></w:pPr><w:hyperlink r:id="rId56" w:history="1"><w:r><w:rPr><w:color w:val="1e198e"/><w:b w:val="1"/><w:bCs w:val="1"/><w:u w:val="single"/></w:rPr><w:t xml:space="preserve">Ordolibéralisme versus Néolibéralisme: antagonismes idéologiques et conséquences pratiques en droit européen de la concurrence</w:t></w:r></w:hyperlink></w:p><w:p><w:pPr/><w:hyperlink r:id="rId8" w:history="1"><w:r><w:rPr><w:color w:val="#410a8c"/><w:u w:val="single"/></w:rPr><w:t xml:space="preserve">Claire Mongouachon</w:t></w:r></w:hyperlink></w:p><w:p><w:pPr/><w:r><w:rPr/><w:t xml:space="preserve">S. DORMONT; T. PERROUD. </w:t></w:r><w:r><w:rPr><w:i w:val="1"/><w:iCs w:val="1"/></w:rPr><w:t xml:space="preserve">Droit et marché</w:t></w:r><w:r><w:rPr/><w:t xml:space="preserve">, LGDJ, pp.21-43, 2015</w:t></w:r></w:p><w:p><w:pPr/><w:r><w:rPr/><w:t xml:space="preserve">Chapitre d'ouvrage</w:t></w:r></w:p><w:p><w:pPr/><w:hyperlink r:id="rId56" w:history="1"><w:r><w:rPr><w:color w:val="#410a8c"/><w:u w:val="single"/></w:rPr><w:t xml:space="preserve">hal-01685134v1</w:t></w:r></w:hyperlink></w:p></w:tc></w:tr><w:tr><w:trPr/><w:tc><w:tcPr><w:noWrap/></w:tcPr><w:p><w:pPr><w:spacing w:after="200"/></w:pPr><w:hyperlink r:id="rId57" w:history="1"><w:r><w:rPr><w:color w:val="1e198e"/><w:b w:val="1"/><w:bCs w:val="1"/><w:u w:val="single"/></w:rPr><w:t xml:space="preserve">Ordolibéralisme versus Néolibéralisme : de quelques antagonismes idéologiques et de leurs conséquences pratiques en droit européen de la concurrence</w:t></w:r></w:hyperlink></w:p><w:p><w:pPr/><w:hyperlink r:id="rId8" w:history="1"><w:r><w:rPr><w:color w:val="#410a8c"/><w:u w:val="single"/></w:rPr><w:t xml:space="preserve">Claire Mongouachon</w:t></w:r></w:hyperlink></w:p><w:p><w:pPr/><w:r><w:rPr/><w:t xml:space="preserve">Dormont Sarah; Perroud Thomas. </w:t></w:r><w:r><w:rPr><w:i w:val="1"/><w:iCs w:val="1"/></w:rPr><w:t xml:space="preserve">Droit et marché</w:t></w:r><w:r><w:rPr/><w:t xml:space="preserve">, LGDJ Lextenso éditions, pp.21-44, 2015, Droit &amp; économie</w:t></w:r></w:p><w:p><w:pPr/><w:r><w:rPr/><w:t xml:space="preserve">Chapitre d'ouvrage</w:t></w:r></w:p><w:p><w:pPr/><w:hyperlink r:id="rId57" w:history="1"><w:r><w:rPr><w:color w:val="#410a8c"/><w:u w:val="single"/></w:rPr><w:t xml:space="preserve">hal-01812370v1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6719v1" TargetMode="External"/><Relationship Id="rId8" Type="http://schemas.openxmlformats.org/officeDocument/2006/relationships/hyperlink" Target="https://hal.science/search/index/?q=*&amp;authFullName_s=Claire Mongouachon" TargetMode="External"/><Relationship Id="rId9" Type="http://schemas.openxmlformats.org/officeDocument/2006/relationships/hyperlink" Target="https://hal.science/hal-05566781v1" TargetMode="External"/><Relationship Id="rId10" Type="http://schemas.openxmlformats.org/officeDocument/2006/relationships/hyperlink" Target="https://hal.science/search/index/?q=*&amp;authFullName_s=Marie Cartapanis" TargetMode="External"/><Relationship Id="rId11" Type="http://schemas.openxmlformats.org/officeDocument/2006/relationships/hyperlink" Target="https://hal.science/hal-05566784v1" TargetMode="External"/><Relationship Id="rId12" Type="http://schemas.openxmlformats.org/officeDocument/2006/relationships/hyperlink" Target="https://hal.science/hal-05374719v1" TargetMode="External"/><Relationship Id="rId13" Type="http://schemas.openxmlformats.org/officeDocument/2006/relationships/hyperlink" Target="https://hal.science/hal-05566800v1" TargetMode="External"/><Relationship Id="rId14" Type="http://schemas.openxmlformats.org/officeDocument/2006/relationships/hyperlink" Target="https://hal.science/hal-05566811v1" TargetMode="External"/><Relationship Id="rId15" Type="http://schemas.openxmlformats.org/officeDocument/2006/relationships/hyperlink" Target="https://amu.hal.science/hal-04543897v1" TargetMode="External"/><Relationship Id="rId16" Type="http://schemas.openxmlformats.org/officeDocument/2006/relationships/hyperlink" Target="https://amu.hal.science/hal-04543845v1" TargetMode="External"/><Relationship Id="rId17" Type="http://schemas.openxmlformats.org/officeDocument/2006/relationships/hyperlink" Target="https://hal.science/hal-05566804v1" TargetMode="External"/><Relationship Id="rId18" Type="http://schemas.openxmlformats.org/officeDocument/2006/relationships/hyperlink" Target="https://hal.science/hal-05566794v1" TargetMode="External"/><Relationship Id="rId19" Type="http://schemas.openxmlformats.org/officeDocument/2006/relationships/hyperlink" Target="https://amu.hal.science/hal-04542792v1" TargetMode="External"/><Relationship Id="rId20" Type="http://schemas.openxmlformats.org/officeDocument/2006/relationships/hyperlink" Target="https://amu.hal.science/hal-04542830v1" TargetMode="External"/><Relationship Id="rId21" Type="http://schemas.openxmlformats.org/officeDocument/2006/relationships/hyperlink" Target="https://amu.hal.science/hal-04542798v1" TargetMode="External"/><Relationship Id="rId22" Type="http://schemas.openxmlformats.org/officeDocument/2006/relationships/hyperlink" Target="https://amu.hal.science/hal-04542824v1" TargetMode="External"/><Relationship Id="rId23" Type="http://schemas.openxmlformats.org/officeDocument/2006/relationships/hyperlink" Target="https://hal.science/hal-04575568v1" TargetMode="External"/><Relationship Id="rId24" Type="http://schemas.openxmlformats.org/officeDocument/2006/relationships/hyperlink" Target="https://amu.hal.science/hal-04542835v1" TargetMode="External"/><Relationship Id="rId25" Type="http://schemas.openxmlformats.org/officeDocument/2006/relationships/hyperlink" Target="https://amu.hal.science/hal-04345416v1" TargetMode="External"/><Relationship Id="rId26" Type="http://schemas.openxmlformats.org/officeDocument/2006/relationships/hyperlink" Target="https://amu.hal.science/hal-04542816v1" TargetMode="External"/><Relationship Id="rId27" Type="http://schemas.openxmlformats.org/officeDocument/2006/relationships/hyperlink" Target="https://hal.parisnanterre.fr/hal-04064944v1" TargetMode="External"/><Relationship Id="rId28" Type="http://schemas.openxmlformats.org/officeDocument/2006/relationships/hyperlink" Target="https://hal.parisnanterre.fr/hal-04064920v1" TargetMode="External"/><Relationship Id="rId29" Type="http://schemas.openxmlformats.org/officeDocument/2006/relationships/hyperlink" Target="https://hal.science/hal-02011886v1" TargetMode="External"/><Relationship Id="rId30" Type="http://schemas.openxmlformats.org/officeDocument/2006/relationships/hyperlink" Target="https://hal.science/hal-01825906v1" TargetMode="External"/><Relationship Id="rId31" Type="http://schemas.openxmlformats.org/officeDocument/2006/relationships/hyperlink" Target="https://hal.science/search/index/?q=*&amp;authFullName_s=Lionel Zevounou" TargetMode="External"/><Relationship Id="rId32" Type="http://schemas.openxmlformats.org/officeDocument/2006/relationships/hyperlink" Target="https://hal.parisnanterre.fr/hal-01685093v1" TargetMode="External"/><Relationship Id="rId33" Type="http://schemas.openxmlformats.org/officeDocument/2006/relationships/hyperlink" Target="https://hal.parisnanterre.fr/hal-01812298v1" TargetMode="External"/><Relationship Id="rId34" Type="http://schemas.openxmlformats.org/officeDocument/2006/relationships/hyperlink" Target="https://hal.parisnanterre.fr/hal-01812339v1" TargetMode="External"/><Relationship Id="rId35" Type="http://schemas.openxmlformats.org/officeDocument/2006/relationships/hyperlink" Target="https://hal.parisnanterre.fr/hal-01812369v1" TargetMode="External"/><Relationship Id="rId36" Type="http://schemas.openxmlformats.org/officeDocument/2006/relationships/hyperlink" Target="https://hal.parisnanterre.fr/hal-01812435v1" TargetMode="External"/><Relationship Id="rId37" Type="http://schemas.openxmlformats.org/officeDocument/2006/relationships/hyperlink" Target="https://hal.parisnanterre.fr/hal-01812421v1" TargetMode="External"/><Relationship Id="rId38" Type="http://schemas.openxmlformats.org/officeDocument/2006/relationships/hyperlink" Target="https://hal.parisnanterre.fr/hal-01685110v1" TargetMode="External"/><Relationship Id="rId39" Type="http://schemas.openxmlformats.org/officeDocument/2006/relationships/hyperlink" Target="https://dx.doi.org/10.3917/rfdc.090.0303" TargetMode="External"/><Relationship Id="rId40" Type="http://schemas.openxmlformats.org/officeDocument/2006/relationships/hyperlink" Target="https://hal.science/hal-04580251v1" TargetMode="External"/><Relationship Id="rId41" Type="http://schemas.openxmlformats.org/officeDocument/2006/relationships/hyperlink" Target="https://hal.science/hal-04580250v1" TargetMode="External"/><Relationship Id="rId42" Type="http://schemas.openxmlformats.org/officeDocument/2006/relationships/hyperlink" Target="https://hal.parisnanterre.fr/hal-01812288v1" TargetMode="External"/><Relationship Id="rId43" Type="http://schemas.openxmlformats.org/officeDocument/2006/relationships/hyperlink" Target="https://hal.parisnanterre.fr/hal-01812365v1" TargetMode="External"/><Relationship Id="rId44" Type="http://schemas.openxmlformats.org/officeDocument/2006/relationships/hyperlink" Target="https://hal.science/search/index/?q=*&amp;authFullName_s=Francesco Martucci" TargetMode="External"/><Relationship Id="rId45" Type="http://schemas.openxmlformats.org/officeDocument/2006/relationships/hyperlink" Target="https://amu.hal.science/hal-04543867v1" TargetMode="External"/><Relationship Id="rId46" Type="http://schemas.openxmlformats.org/officeDocument/2006/relationships/hyperlink" Target="https://amu.hal.science/hal-04542146v1" TargetMode="External"/><Relationship Id="rId47" Type="http://schemas.openxmlformats.org/officeDocument/2006/relationships/hyperlink" Target="https://amu.hal.science/hal-04542732v1" TargetMode="External"/><Relationship Id="rId48" Type="http://schemas.openxmlformats.org/officeDocument/2006/relationships/hyperlink" Target="https://hal.parisnanterre.fr/hal-04064972v1" TargetMode="External"/><Relationship Id="rId49" Type="http://schemas.openxmlformats.org/officeDocument/2006/relationships/hyperlink" Target="https://dx.doi.org/10.1163/9789004519350_013" TargetMode="External"/><Relationship Id="rId50" Type="http://schemas.openxmlformats.org/officeDocument/2006/relationships/hyperlink" Target="https://hal.parisnanterre.fr/hal-04064880v1" TargetMode="External"/><Relationship Id="rId51" Type="http://schemas.openxmlformats.org/officeDocument/2006/relationships/hyperlink" Target="https://hal.parisnanterre.fr/hal-04064842v1" TargetMode="External"/><Relationship Id="rId52" Type="http://schemas.openxmlformats.org/officeDocument/2006/relationships/hyperlink" Target="https://hal.parisnanterre.fr/hal-02349145v1" TargetMode="External"/><Relationship Id="rId53" Type="http://schemas.openxmlformats.org/officeDocument/2006/relationships/hyperlink" Target="https://hal.parisnanterre.fr/hal-02349119v1" TargetMode="External"/><Relationship Id="rId54" Type="http://schemas.openxmlformats.org/officeDocument/2006/relationships/hyperlink" Target="https://nantes-universite.hal.science/hal-02011859v1" TargetMode="External"/><Relationship Id="rId55" Type="http://schemas.openxmlformats.org/officeDocument/2006/relationships/hyperlink" Target="https://hal.parisnanterre.fr/hal-01812303v1" TargetMode="External"/><Relationship Id="rId56" Type="http://schemas.openxmlformats.org/officeDocument/2006/relationships/hyperlink" Target="https://hal.parisnanterre.fr/hal-01685134v1" TargetMode="External"/><Relationship Id="rId57" Type="http://schemas.openxmlformats.org/officeDocument/2006/relationships/hyperlink" Target="https://hal.parisnanterre.fr/hal-01812370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Mongouachon</dc:title>
  <dc:description>CV</dc:description>
  <dc:subject/>
  <cp:keywords/>
  <cp:category/>
  <cp:lastModifiedBy/>
  <dcterms:created xsi:type="dcterms:W3CDTF">2026-05-13T20:57:26+02:00</dcterms:created>
  <dcterms:modified xsi:type="dcterms:W3CDTF">2026-05-13T20:57:26+02:00</dcterms:modified>
</cp:coreProperties>
</file>

<file path=docProps/custom.xml><?xml version="1.0" encoding="utf-8"?>
<Properties xmlns="http://schemas.openxmlformats.org/officeDocument/2006/custom-properties" xmlns:vt="http://schemas.openxmlformats.org/officeDocument/2006/docPropsVTypes"/>
</file>