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Dhaisne </w:t>
      </w:r>
      <w:r>
        <w:rPr>
          <w:color w:val="641e6e"/>
        </w:rPr>
        <w:t xml:space="preserve">Attachée temporaire d'enseignement et de recherche (A.T.E.R.) en droit public • Doctorante en droit international • Université Paris-Panthéon-Assas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Note sous Comité des droits de l’homme, Gevorg Ghazaryan c. Arménie, 27 septembre 2024, communication n° 3168/2018, U.N. doc. CCPR/C/141/D/3168/2018</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2026, 23, pp.23-25</w:t>
            </w:r>
          </w:p>
          <w:p>
            <w:pPr/>
            <w:r>
              <w:rPr/>
              <w:t xml:space="preserve">Article dans une revue</w:t>
            </w:r>
          </w:p>
          <w:p>
            <w:pPr/>
            <w:hyperlink r:id="rId7" w:history="1">
              <w:r>
                <w:rPr>
                  <w:color w:val="#410a8c"/>
                  <w:u w:val="single"/>
                </w:rPr>
                <w:t xml:space="preserve">hal-05538506v1</w:t>
              </w:r>
            </w:hyperlink>
          </w:p>
        </w:tc>
      </w:tr>
      <w:tr>
        <w:trPr/>
        <w:tc>
          <w:tcPr>
            <w:noWrap/>
          </w:tcPr>
          <w:p>
            <w:pPr>
              <w:spacing w:after="200"/>
            </w:pPr>
            <w:hyperlink r:id="rId9" w:history="1">
              <w:r>
                <w:rPr>
                  <w:color w:val="1e198e"/>
                  <w:b w:val="1"/>
                  <w:bCs w:val="1"/>
                  <w:u w:val="single"/>
                </w:rPr>
                <w:t xml:space="preserve">Note sous Comité contre la torture, Cassandra Bodart c. Belgique, 13 juillet 2023, communication n° 993/2020, U.N. doc. CAT/C/77/D/993/2020</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2025, 22, pp.23-25</w:t>
            </w:r>
          </w:p>
          <w:p>
            <w:pPr/>
            <w:r>
              <w:rPr/>
              <w:t xml:space="preserve">Article dans une revue</w:t>
            </w:r>
          </w:p>
          <w:p>
            <w:pPr/>
            <w:hyperlink r:id="rId9" w:history="1">
              <w:r>
                <w:rPr>
                  <w:color w:val="#410a8c"/>
                  <w:u w:val="single"/>
                </w:rPr>
                <w:t xml:space="preserve">hal-05185123v1</w:t>
              </w:r>
            </w:hyperlink>
          </w:p>
        </w:tc>
      </w:tr>
      <w:tr>
        <w:trPr/>
        <w:tc>
          <w:tcPr>
            <w:noWrap/>
          </w:tcPr>
          <w:p>
            <w:pPr>
              <w:spacing w:after="200"/>
            </w:pPr>
            <w:hyperlink r:id="rId10" w:history="1">
              <w:r>
                <w:rPr>
                  <w:color w:val="1e198e"/>
                  <w:b w:val="1"/>
                  <w:bCs w:val="1"/>
                  <w:u w:val="single"/>
                </w:rPr>
                <w:t xml:space="preserve">Note sous Cour EDH, Domenjoud c. France, 16 mai 2024, n° 34749/16 et 79607/17</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2025, 3, pp.1144-1147</w:t>
            </w:r>
          </w:p>
          <w:p>
            <w:pPr/>
            <w:r>
              <w:rPr/>
              <w:t xml:space="preserve">Article dans une revue</w:t>
            </w:r>
          </w:p>
          <w:p>
            <w:pPr/>
            <w:hyperlink r:id="rId10" w:history="1">
              <w:r>
                <w:rPr>
                  <w:color w:val="#410a8c"/>
                  <w:u w:val="single"/>
                </w:rPr>
                <w:t xml:space="preserve">hal-05185183v1</w:t>
              </w:r>
            </w:hyperlink>
          </w:p>
        </w:tc>
      </w:tr>
      <w:tr>
        <w:trPr/>
        <w:tc>
          <w:tcPr>
            <w:noWrap/>
          </w:tcPr>
          <w:p>
            <w:pPr>
              <w:spacing w:after="200"/>
            </w:pPr>
            <w:hyperlink r:id="rId11" w:history="1">
              <w:r>
                <w:rPr>
                  <w:color w:val="1e198e"/>
                  <w:b w:val="1"/>
                  <w:bCs w:val="1"/>
                  <w:u w:val="single"/>
                </w:rPr>
                <w:t xml:space="preserve">Note de lecture. A. AILINCAI, C. PIVETEAU ET N. DRICI, Peine de mort et droits de l’Homme, Pour des standards internationaux de protection spécifiques aux personnes passibles de la peine de mort ou condamnées à mort, Paris, Pedone, 2024, 288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2024, 2024 (1), pp.236-239</w:t>
            </w:r>
          </w:p>
          <w:p>
            <w:pPr/>
            <w:r>
              <w:rPr/>
              <w:t xml:space="preserve">Article dans une revue</w:t>
            </w:r>
            <w:r>
              <w:rPr/>
              <w:t xml:space="preserve"> (compte-rendu de lecture)</w:t>
            </w:r>
          </w:p>
          <w:p>
            <w:pPr/>
            <w:hyperlink r:id="rId11" w:history="1">
              <w:r>
                <w:rPr>
                  <w:color w:val="#410a8c"/>
                  <w:u w:val="single"/>
                </w:rPr>
                <w:t xml:space="preserve">hal-05185220v1</w:t>
              </w:r>
            </w:hyperlink>
          </w:p>
        </w:tc>
      </w:tr>
      <w:tr>
        <w:trPr/>
        <w:tc>
          <w:tcPr>
            <w:noWrap/>
          </w:tcPr>
          <w:p>
            <w:pPr>
              <w:spacing w:after="200"/>
            </w:pPr>
            <w:hyperlink r:id="rId12" w:history="1">
              <w:r>
                <w:rPr>
                  <w:color w:val="1e198e"/>
                  <w:b w:val="1"/>
                  <w:bCs w:val="1"/>
                  <w:u w:val="single"/>
                </w:rPr>
                <w:t xml:space="preserve">Note de lecture. L. LOUWERSE, The EU’s Conceptualisation of the Rule of Law in Its External Relations. Case Studies on Development Cooperation and Enlargement, Leiden – Boston, Brill – Nijhoff, 2023, 448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2024, 2024 (3), pp.753-756</w:t>
            </w:r>
          </w:p>
          <w:p>
            <w:pPr/>
            <w:r>
              <w:rPr/>
              <w:t xml:space="preserve">Article dans une revue</w:t>
            </w:r>
            <w:r>
              <w:rPr/>
              <w:t xml:space="preserve"> (compte-rendu de lecture)</w:t>
            </w:r>
          </w:p>
          <w:p>
            <w:pPr/>
            <w:hyperlink r:id="rId12" w:history="1">
              <w:r>
                <w:rPr>
                  <w:color w:val="#410a8c"/>
                  <w:u w:val="single"/>
                </w:rPr>
                <w:t xml:space="preserve">hal-05185216v1</w:t>
              </w:r>
            </w:hyperlink>
          </w:p>
        </w:tc>
      </w:tr>
      <w:tr>
        <w:trPr/>
        <w:tc>
          <w:tcPr>
            <w:noWrap/>
          </w:tcPr>
          <w:p>
            <w:pPr>
              <w:spacing w:after="200"/>
            </w:pPr>
            <w:hyperlink r:id="rId13" w:history="1">
              <w:r>
                <w:rPr>
                  <w:color w:val="1e198e"/>
                  <w:b w:val="1"/>
                  <w:bCs w:val="1"/>
                  <w:u w:val="single"/>
                </w:rPr>
                <w:t xml:space="preserve">Note sous Cour EDH, GC, Halet c. Luxembourg, 14 février 2023, n°21884/18</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2024, 2024 (3), pp.1120-1122</w:t>
            </w:r>
          </w:p>
          <w:p>
            <w:pPr/>
            <w:r>
              <w:rPr/>
              <w:t xml:space="preserve">Article dans une revue</w:t>
            </w:r>
          </w:p>
          <w:p>
            <w:pPr/>
            <w:hyperlink r:id="rId13" w:history="1">
              <w:r>
                <w:rPr>
                  <w:color w:val="#410a8c"/>
                  <w:u w:val="single"/>
                </w:rPr>
                <w:t xml:space="preserve">hal-05185188v1</w:t>
              </w:r>
            </w:hyperlink>
          </w:p>
        </w:tc>
      </w:tr>
      <w:tr>
        <w:trPr/>
        <w:tc>
          <w:tcPr>
            <w:noWrap/>
          </w:tcPr>
          <w:p>
            <w:pPr>
              <w:spacing w:after="200"/>
            </w:pPr>
            <w:hyperlink r:id="rId14" w:history="1">
              <w:r>
                <w:rPr>
                  <w:color w:val="1e198e"/>
                  <w:b w:val="1"/>
                  <w:bCs w:val="1"/>
                  <w:u w:val="single"/>
                </w:rPr>
                <w:t xml:space="preserve">Note sous Cour EDH, GC, Affaire Communauté genevoise d’action syndicale (CGAS) c. Suisse, 27 novembre 2023, n°21881/20</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2024, 2024 (3), pp.1129-1132</w:t>
            </w:r>
          </w:p>
          <w:p>
            <w:pPr/>
            <w:r>
              <w:rPr/>
              <w:t xml:space="preserve">Article dans une revue</w:t>
            </w:r>
          </w:p>
          <w:p>
            <w:pPr/>
            <w:hyperlink r:id="rId14" w:history="1">
              <w:r>
                <w:rPr>
                  <w:color w:val="#410a8c"/>
                  <w:u w:val="single"/>
                </w:rPr>
                <w:t xml:space="preserve">hal-05185194v1</w:t>
              </w:r>
            </w:hyperlink>
          </w:p>
        </w:tc>
      </w:tr>
      <w:tr>
        <w:trPr/>
        <w:tc>
          <w:tcPr>
            <w:noWrap/>
          </w:tcPr>
          <w:p>
            <w:pPr>
              <w:spacing w:after="200"/>
            </w:pPr>
            <w:hyperlink r:id="rId15" w:history="1">
              <w:r>
                <w:rPr>
                  <w:color w:val="1e198e"/>
                  <w:b w:val="1"/>
                  <w:bCs w:val="1"/>
                  <w:u w:val="single"/>
                </w:rPr>
                <w:t xml:space="preserve">Note sous Cour EDH, N.M. et al. c. France, 3 février 2022, n°66328/14</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pp.1105-1107</w:t>
            </w:r>
          </w:p>
          <w:p>
            <w:pPr/>
            <w:r>
              <w:rPr/>
              <w:t xml:space="preserve">Article dans une revue</w:t>
            </w:r>
          </w:p>
          <w:p>
            <w:pPr/>
            <w:hyperlink r:id="rId15" w:history="1">
              <w:r>
                <w:rPr>
                  <w:color w:val="#410a8c"/>
                  <w:u w:val="single"/>
                </w:rPr>
                <w:t xml:space="preserve">hal-05185206v1</w:t>
              </w:r>
            </w:hyperlink>
          </w:p>
        </w:tc>
      </w:tr>
      <w:tr>
        <w:trPr/>
        <w:tc>
          <w:tcPr>
            <w:noWrap/>
          </w:tcPr>
          <w:p>
            <w:pPr>
              <w:spacing w:after="200"/>
            </w:pPr>
            <w:hyperlink r:id="rId16" w:history="1">
              <w:r>
                <w:rPr>
                  <w:color w:val="1e198e"/>
                  <w:b w:val="1"/>
                  <w:bCs w:val="1"/>
                  <w:u w:val="single"/>
                </w:rPr>
                <w:t xml:space="preserve">Note sous Cour EDH, Arnar Helgi Larusson c. Islande, 31 mai 2022, n°23077/19</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pp.1083-1085</w:t>
            </w:r>
          </w:p>
          <w:p>
            <w:pPr/>
            <w:r>
              <w:rPr/>
              <w:t xml:space="preserve">Article dans une revue</w:t>
            </w:r>
          </w:p>
          <w:p>
            <w:pPr/>
            <w:hyperlink r:id="rId16" w:history="1">
              <w:r>
                <w:rPr>
                  <w:color w:val="#410a8c"/>
                  <w:u w:val="single"/>
                </w:rPr>
                <w:t xml:space="preserve">hal-05185204v1</w:t>
              </w:r>
            </w:hyperlink>
          </w:p>
        </w:tc>
      </w:tr>
      <w:tr>
        <w:trPr/>
        <w:tc>
          <w:tcPr>
            <w:noWrap/>
          </w:tcPr>
          <w:p>
            <w:pPr>
              <w:spacing w:after="200"/>
            </w:pPr>
            <w:hyperlink r:id="rId17" w:history="1">
              <w:r>
                <w:rPr>
                  <w:color w:val="1e198e"/>
                  <w:b w:val="1"/>
                  <w:bCs w:val="1"/>
                  <w:u w:val="single"/>
                </w:rPr>
                <w:t xml:space="preserve">Note sous Cour EDH, GC, Sanchez-Sanchez c. Royaume-Uni, 3 novembre 2022, n°22854/20</w:t>
              </w:r>
            </w:hyperlink>
          </w:p>
          <w:p>
            <w:pPr/>
            <w:hyperlink r:id="rId8" w:history="1">
              <w:r>
                <w:rPr>
                  <w:color w:val="#410a8c"/>
                  <w:u w:val="single"/>
                </w:rPr>
                <w:t xml:space="preserve">Victoria Dhaisne</w:t>
              </w:r>
            </w:hyperlink>
          </w:p>
          <w:p>
            <w:pPr/>
            <w:r>
              <w:rPr>
                <w:i w:val="1"/>
                <w:iCs w:val="1"/>
              </w:rPr>
              <w:t xml:space="preserve">Journal du droit international (Clunet)</w:t>
            </w:r>
            <w:r>
              <w:rPr/>
              <w:t xml:space="preserve">, 2023, 2023 (3), pp.1069-1071</w:t>
            </w:r>
          </w:p>
          <w:p>
            <w:pPr/>
            <w:r>
              <w:rPr/>
              <w:t xml:space="preserve">Article dans une revue</w:t>
            </w:r>
          </w:p>
          <w:p>
            <w:pPr/>
            <w:hyperlink r:id="rId17" w:history="1">
              <w:r>
                <w:rPr>
                  <w:color w:val="#410a8c"/>
                  <w:u w:val="single"/>
                </w:rPr>
                <w:t xml:space="preserve">hal-05185200v1</w:t>
              </w:r>
            </w:hyperlink>
          </w:p>
        </w:tc>
      </w:tr>
      <w:tr>
        <w:trPr/>
        <w:tc>
          <w:tcPr>
            <w:noWrap/>
          </w:tcPr>
          <w:p>
            <w:pPr>
              <w:spacing w:after="200"/>
            </w:pPr>
            <w:hyperlink r:id="rId18" w:history="1">
              <w:r>
                <w:rPr>
                  <w:color w:val="1e198e"/>
                  <w:b w:val="1"/>
                  <w:bCs w:val="1"/>
                  <w:u w:val="single"/>
                </w:rPr>
                <w:t xml:space="preserve">Note sous Comité contre la torture, Malcolm John Richards c. Nouvelle-Zélande, 12 mai 2022, communication n° 934/2019, U.N. doc. CAT/C/73/D/934/2019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2023, 21, pp.47-49</w:t>
            </w:r>
          </w:p>
          <w:p>
            <w:pPr/>
            <w:r>
              <w:rPr/>
              <w:t xml:space="preserve">Article dans une revue</w:t>
            </w:r>
          </w:p>
          <w:p>
            <w:pPr/>
            <w:hyperlink r:id="rId18" w:history="1">
              <w:r>
                <w:rPr>
                  <w:color w:val="#410a8c"/>
                  <w:u w:val="single"/>
                </w:rPr>
                <w:t xml:space="preserve">hal-05185163v1</w:t>
              </w:r>
            </w:hyperlink>
          </w:p>
        </w:tc>
      </w:tr>
      <w:tr>
        <w:trPr/>
        <w:tc>
          <w:tcPr>
            <w:noWrap/>
          </w:tcPr>
          <w:p>
            <w:pPr>
              <w:spacing w:after="200"/>
            </w:pPr>
            <w:hyperlink r:id="rId19" w:history="1">
              <w:r>
                <w:rPr>
                  <w:color w:val="1e198e"/>
                  <w:b w:val="1"/>
                  <w:bCs w:val="1"/>
                  <w:u w:val="single"/>
                </w:rPr>
                <w:t xml:space="preserve">Note de lecture. G. BEDORET, O. CORTEN ET P. KLEIN, Une histoire du droit international, De Salamanque à Guantanamo, Futuropolis, 2022, 256 p. (Bande dessinée)</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2023, 2023 (1), pp.289-291</w:t>
            </w:r>
          </w:p>
          <w:p>
            <w:pPr/>
            <w:r>
              <w:rPr/>
              <w:t xml:space="preserve">Article dans une revue</w:t>
            </w:r>
            <w:r>
              <w:rPr/>
              <w:t xml:space="preserve"> (compte-rendu de lecture)</w:t>
            </w:r>
          </w:p>
          <w:p>
            <w:pPr/>
            <w:hyperlink r:id="rId19" w:history="1">
              <w:r>
                <w:rPr>
                  <w:color w:val="#410a8c"/>
                  <w:u w:val="single"/>
                </w:rPr>
                <w:t xml:space="preserve">hal-05185223v1</w:t>
              </w:r>
            </w:hyperlink>
          </w:p>
        </w:tc>
      </w:tr>
      <w:tr>
        <w:trPr/>
        <w:tc>
          <w:tcPr>
            <w:noWrap/>
          </w:tcPr>
          <w:p>
            <w:pPr>
              <w:spacing w:after="200"/>
            </w:pPr>
            <w:hyperlink r:id="rId20" w:history="1">
              <w:r>
                <w:rPr>
                  <w:color w:val="1e198e"/>
                  <w:b w:val="1"/>
                  <w:bCs w:val="1"/>
                  <w:u w:val="single"/>
                </w:rPr>
                <w:t xml:space="preserve">Note sous Comité contre la torture, H. c. France, 22 avril 2022, communication n° 933/2019, U.N. doc. CAT/C/73/D/933/2019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2023, 21, pp.41-43</w:t>
            </w:r>
          </w:p>
          <w:p>
            <w:pPr/>
            <w:r>
              <w:rPr/>
              <w:t xml:space="preserve">Article dans une revue</w:t>
            </w:r>
          </w:p>
          <w:p>
            <w:pPr/>
            <w:hyperlink r:id="rId20" w:history="1">
              <w:r>
                <w:rPr>
                  <w:color w:val="#410a8c"/>
                  <w:u w:val="single"/>
                </w:rPr>
                <w:t xml:space="preserve">hal-05185159v1</w:t>
              </w:r>
            </w:hyperlink>
          </w:p>
        </w:tc>
      </w:tr>
      <w:tr>
        <w:trPr/>
        <w:tc>
          <w:tcPr>
            <w:noWrap/>
          </w:tcPr>
          <w:p>
            <w:pPr>
              <w:spacing w:after="200"/>
            </w:pPr>
            <w:hyperlink r:id="rId21" w:history="1">
              <w:r>
                <w:rPr>
                  <w:color w:val="1e198e"/>
                  <w:b w:val="1"/>
                  <w:bCs w:val="1"/>
                  <w:u w:val="single"/>
                </w:rPr>
                <w:t xml:space="preserve">Note de lecture. T. DEMARIA, Le lien de causalité et la réparation des dommages en droit international public, Paris, Pedone, 2021, 504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2022, 2022 (1), pp.201-204</w:t>
            </w:r>
          </w:p>
          <w:p>
            <w:pPr/>
            <w:r>
              <w:rPr/>
              <w:t xml:space="preserve">Article dans une revue</w:t>
            </w:r>
            <w:r>
              <w:rPr/>
              <w:t xml:space="preserve"> (compte-rendu de lecture)</w:t>
            </w:r>
          </w:p>
          <w:p>
            <w:pPr/>
            <w:hyperlink r:id="rId21" w:history="1">
              <w:r>
                <w:rPr>
                  <w:color w:val="#410a8c"/>
                  <w:u w:val="single"/>
                </w:rPr>
                <w:t xml:space="preserve">hal-05185230v1</w:t>
              </w:r>
            </w:hyperlink>
          </w:p>
        </w:tc>
      </w:tr>
      <w:tr>
        <w:trPr/>
        <w:tc>
          <w:tcPr>
            <w:noWrap/>
          </w:tcPr>
          <w:p>
            <w:pPr>
              <w:spacing w:after="200"/>
            </w:pPr>
            <w:hyperlink r:id="rId22" w:history="1">
              <w:r>
                <w:rPr>
                  <w:color w:val="1e198e"/>
                  <w:b w:val="1"/>
                  <w:bCs w:val="1"/>
                  <w:u w:val="single"/>
                </w:rPr>
                <w:t xml:space="preserve">Note sous Comité contre la torture, X. c. Suisse, 22 juillet 2021, communication n° 900/2018, U.N. doc. CAT/C/71/D/900/2018</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2022, 20, pp.66-68</w:t>
            </w:r>
          </w:p>
          <w:p>
            <w:pPr/>
            <w:r>
              <w:rPr/>
              <w:t xml:space="preserve">Article dans une revue</w:t>
            </w:r>
          </w:p>
          <w:p>
            <w:pPr/>
            <w:hyperlink r:id="rId22" w:history="1">
              <w:r>
                <w:rPr>
                  <w:color w:val="#410a8c"/>
                  <w:u w:val="single"/>
                </w:rPr>
                <w:t xml:space="preserve">hal-05185166v1</w:t>
              </w:r>
            </w:hyperlink>
          </w:p>
        </w:tc>
      </w:tr>
      <w:tr>
        <w:trPr/>
        <w:tc>
          <w:tcPr>
            <w:noWrap/>
          </w:tcPr>
          <w:p>
            <w:pPr>
              <w:spacing w:after="200"/>
            </w:pPr>
            <w:hyperlink r:id="rId23" w:history="1">
              <w:r>
                <w:rPr>
                  <w:color w:val="1e198e"/>
                  <w:b w:val="1"/>
                  <w:bCs w:val="1"/>
                  <w:u w:val="single"/>
                </w:rPr>
                <w:t xml:space="preserve">Note sous Comité des droits de l’enfant, Y.A.M. c. Danemark, 4 février 2021, communication n° 83/2019, U.N. doc. CRC/C/86/D/83/2019</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2022, 20, pp.95-98</w:t>
            </w:r>
          </w:p>
          <w:p>
            <w:pPr/>
            <w:r>
              <w:rPr/>
              <w:t xml:space="preserve">Article dans une revue</w:t>
            </w:r>
          </w:p>
          <w:p>
            <w:pPr/>
            <w:hyperlink r:id="rId23" w:history="1">
              <w:r>
                <w:rPr>
                  <w:color w:val="#410a8c"/>
                  <w:u w:val="single"/>
                </w:rPr>
                <w:t xml:space="preserve">hal-05185170v1</w:t>
              </w:r>
            </w:hyperlink>
          </w:p>
        </w:tc>
      </w:tr>
      <w:tr>
        <w:trPr/>
        <w:tc>
          <w:tcPr>
            <w:noWrap/>
          </w:tcPr>
          <w:p>
            <w:pPr>
              <w:spacing w:after="200"/>
            </w:pPr>
            <w:hyperlink r:id="rId24" w:history="1">
              <w:r>
                <w:rPr>
                  <w:color w:val="1e198e"/>
                  <w:b w:val="1"/>
                  <w:bCs w:val="1"/>
                  <w:u w:val="single"/>
                </w:rPr>
                <w:t xml:space="preserve">Note de lecture. F. MARCHADIER (DIR.), La prohibition de l’esclavage et de la traite des êtres humains, Paris, Pedone, 2022, 304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2022, 2022 (2), pp.397-399</w:t>
            </w:r>
          </w:p>
          <w:p>
            <w:pPr/>
            <w:r>
              <w:rPr/>
              <w:t xml:space="preserve">Article dans une revue</w:t>
            </w:r>
            <w:r>
              <w:rPr/>
              <w:t xml:space="preserve"> (compte-rendu de lecture)</w:t>
            </w:r>
          </w:p>
          <w:p>
            <w:pPr/>
            <w:hyperlink r:id="rId24" w:history="1">
              <w:r>
                <w:rPr>
                  <w:color w:val="#410a8c"/>
                  <w:u w:val="single"/>
                </w:rPr>
                <w:t xml:space="preserve">hal-05185228v1</w:t>
              </w:r>
            </w:hyperlink>
          </w:p>
        </w:tc>
      </w:tr>
      <w:tr>
        <w:trPr/>
        <w:tc>
          <w:tcPr>
            <w:noWrap/>
          </w:tcPr>
          <w:p>
            <w:pPr>
              <w:spacing w:after="200"/>
            </w:pPr>
            <w:hyperlink r:id="rId25" w:history="1">
              <w:r>
                <w:rPr>
                  <w:color w:val="1e198e"/>
                  <w:b w:val="1"/>
                  <w:bCs w:val="1"/>
                  <w:u w:val="single"/>
                </w:rPr>
                <w:t xml:space="preserve">Note de lecture. Z. WEI et C. JIAN (EDS.), Human Rights and the Concept of a Human Community with a Shared Future, Chinese Perspectives on Human Rights and Good Governance, Leiden, Boston, Brill-Nijhoff, 2021, 220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(3), pp.711-712</w:t>
            </w:r>
          </w:p>
          <w:p>
            <w:pPr/>
            <w:r>
              <w:rPr/>
              <w:t xml:space="preserve">Article dans une revue</w:t>
            </w:r>
            <w:r>
              <w:rPr/>
              <w:t xml:space="preserve"> (compte-rendu de lecture)</w:t>
            </w:r>
          </w:p>
          <w:p>
            <w:pPr/>
            <w:hyperlink r:id="rId25" w:history="1">
              <w:r>
                <w:rPr>
                  <w:color w:val="#410a8c"/>
                  <w:u w:val="single"/>
                </w:rPr>
                <w:t xml:space="preserve">hal-05185236v1</w:t>
              </w:r>
            </w:hyperlink>
          </w:p>
        </w:tc>
      </w:tr>
      <w:tr>
        <w:trPr/>
        <w:tc>
          <w:tcPr>
            <w:noWrap/>
          </w:tcPr>
          <w:p>
            <w:pPr>
              <w:spacing w:after="200"/>
            </w:pPr>
            <w:hyperlink r:id="rId26" w:history="1">
              <w:r>
                <w:rPr>
                  <w:color w:val="1e198e"/>
                  <w:b w:val="1"/>
                  <w:bCs w:val="1"/>
                  <w:u w:val="single"/>
                </w:rPr>
                <w:t xml:space="preserve">Note de lecture. G. LE FLOCH et M. LEMEY (DIR.), Le revirement de jurisprudence en droit international : actes du colloque de Rennes 27 et 28 juin 2019, Paris, Pedone, 2021, 383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(1), pp.470-473</w:t>
            </w:r>
          </w:p>
          <w:p>
            <w:pPr/>
            <w:r>
              <w:rPr/>
              <w:t xml:space="preserve">Article dans une revue</w:t>
            </w:r>
          </w:p>
          <w:p>
            <w:pPr/>
            <w:hyperlink r:id="rId26" w:history="1">
              <w:r>
                <w:rPr>
                  <w:color w:val="#410a8c"/>
                  <w:u w:val="single"/>
                </w:rPr>
                <w:t xml:space="preserve">hal-05185239v1</w:t>
              </w:r>
            </w:hyperlink>
          </w:p>
        </w:tc>
      </w:tr>
      <w:tr>
        <w:trPr/>
        <w:tc>
          <w:tcPr>
            <w:noWrap/>
          </w:tcPr>
          <w:p>
            <w:pPr>
              <w:spacing w:after="200"/>
            </w:pPr>
            <w:hyperlink r:id="rId27" w:history="1">
              <w:r>
                <w:rPr>
                  <w:color w:val="1e198e"/>
                  <w:b w:val="1"/>
                  <w:bCs w:val="1"/>
                  <w:u w:val="single"/>
                </w:rPr>
                <w:t xml:space="preserve">Note de lecture. G. MAZI, Les déclarations interprétatives en droit international public, Generis Publishing, 2021, 560 p.</w:t>
              </w:r>
            </w:hyperlink>
          </w:p>
          <w:p>
            <w:pPr/>
            <w:hyperlink r:id="rId8" w:history="1">
              <w:r>
                <w:rPr>
                  <w:color w:val="#410a8c"/>
                  <w:u w:val="single"/>
                </w:rPr>
                <w:t xml:space="preserve">Victoria Dhaisne</w:t>
              </w:r>
            </w:hyperlink>
          </w:p>
          <w:p>
            <w:pPr/>
            <w:r>
              <w:rPr>
                <w:i w:val="1"/>
                <w:iCs w:val="1"/>
              </w:rPr>
              <w:t xml:space="preserve">Revue générale de droit international public</w:t>
            </w:r>
            <w:r>
              <w:rPr/>
              <w:t xml:space="preserve">, 2021, 2021 (4), pp.906-909</w:t>
            </w:r>
          </w:p>
          <w:p>
            <w:pPr/>
            <w:r>
              <w:rPr/>
              <w:t xml:space="preserve">Article dans une revue</w:t>
            </w:r>
            <w:r>
              <w:rPr/>
              <w:t xml:space="preserve"> (compte-rendu de lecture)</w:t>
            </w:r>
          </w:p>
          <w:p>
            <w:pPr/>
            <w:hyperlink r:id="rId27" w:history="1">
              <w:r>
                <w:rPr>
                  <w:color w:val="#410a8c"/>
                  <w:u w:val="single"/>
                </w:rPr>
                <w:t xml:space="preserve">hal-05185233v1</w:t>
              </w:r>
            </w:hyperlink>
          </w:p>
        </w:tc>
      </w:tr>
      <w:tr>
        <w:trPr/>
        <w:tc>
          <w:tcPr>
            <w:noWrap/>
          </w:tcPr>
          <w:p>
            <w:pPr>
              <w:spacing w:after="200"/>
            </w:pPr>
            <w:hyperlink r:id="rId28" w:history="1">
              <w:r>
                <w:rPr>
                  <w:color w:val="1e198e"/>
                  <w:b w:val="1"/>
                  <w:bCs w:val="1"/>
                  <w:u w:val="single"/>
                </w:rPr>
                <w:t xml:space="preserve">Note sous Comité des droits de l’Homme, Alain Rosenberg et Sabine Jacquart c. France, 14 octobre 2020, communication n° 2584/2015, U.N. doc. CCPR/C/130/D/2584/2015</w:t>
              </w:r>
            </w:hyperlink>
          </w:p>
          <w:p>
            <w:pPr/>
            <w:hyperlink r:id="rId8" w:history="1">
              <w:r>
                <w:rPr>
                  <w:color w:val="#410a8c"/>
                  <w:u w:val="single"/>
                </w:rPr>
                <w:t xml:space="preserve">Victoria Dhaisne</w:t>
              </w:r>
            </w:hyperlink>
          </w:p>
          <w:p>
            <w:pPr/>
            <w:r>
              <w:rPr>
                <w:i w:val="1"/>
                <w:iCs w:val="1"/>
              </w:rPr>
              <w:t xml:space="preserve">Droits fondamentaux : Revue électronique du CRDH</w:t>
            </w:r>
            <w:r>
              <w:rPr/>
              <w:t xml:space="preserve">, 2021, 19, pp.10-15</w:t>
            </w:r>
          </w:p>
          <w:p>
            <w:pPr/>
            <w:r>
              <w:rPr/>
              <w:t xml:space="preserve">Article dans une revue</w:t>
            </w:r>
          </w:p>
          <w:p>
            <w:pPr/>
            <w:hyperlink r:id="rId28" w:history="1">
              <w:r>
                <w:rPr>
                  <w:color w:val="#410a8c"/>
                  <w:u w:val="single"/>
                </w:rPr>
                <w:t xml:space="preserve">hal-05185175v1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diversité des formes d’encadrement de l’activité des plateformes de réseaux sociaux aux niveaux national et régional</w:t>
              </w:r>
            </w:hyperlink>
          </w:p>
          <w:p>
            <w:pPr/>
            <w:hyperlink r:id="rId8" w:history="1">
              <w:r>
                <w:rPr>
                  <w:color w:val="#410a8c"/>
                  <w:u w:val="single"/>
                </w:rPr>
                <w:t xml:space="preserve">Victoria Dhaisne</w:t>
              </w:r>
            </w:hyperlink>
          </w:p>
          <w:p>
            <w:pPr/>
            <w:r>
              <w:rPr/>
              <w:t xml:space="preserve">Sarah Jamal; Javier Tous. </w:t>
            </w:r>
            <w:r>
              <w:rPr>
                <w:i w:val="1"/>
                <w:iCs w:val="1"/>
              </w:rPr>
              <w:t xml:space="preserve">Réseaux sociaux et droits de l'homme : quel(s) droit(s) pour quelle protection ?</w:t>
            </w:r>
            <w:r>
              <w:rPr/>
              <w:t xml:space="preserve">, Pedone, pp.215-265, 2024, 978-2-233-01082-7</w:t>
            </w:r>
          </w:p>
          <w:p>
            <w:pPr/>
            <w:r>
              <w:rPr/>
              <w:t xml:space="preserve">Chapitre d'ouvrage</w:t>
            </w:r>
          </w:p>
          <w:p>
            <w:pPr/>
            <w:hyperlink r:id="rId29" w:history="1">
              <w:r>
                <w:rPr>
                  <w:color w:val="#410a8c"/>
                  <w:u w:val="single"/>
                </w:rPr>
                <w:t xml:space="preserve">hal-05185137v1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Immunités</w:t>
              </w:r>
            </w:hyperlink>
          </w:p>
          <w:p>
            <w:pPr/>
            <w:hyperlink r:id="rId8" w:history="1">
              <w:r>
                <w:rPr>
                  <w:color w:val="#410a8c"/>
                  <w:u w:val="single"/>
                </w:rPr>
                <w:t xml:space="preserve">Victoria Dhaisne</w:t>
              </w:r>
            </w:hyperlink>
          </w:p>
          <w:p>
            <w:pPr/>
            <w:r>
              <w:rPr>
                <w:i w:val="1"/>
                <w:iCs w:val="1"/>
              </w:rPr>
              <w:t xml:space="preserve">Dictionnaire thématique de la Convention européenne des droits de l’homme</w:t>
            </w:r>
            <w:r>
              <w:rPr/>
              <w:t xml:space="preserve">, 2022, pp.197-199</w:t>
            </w:r>
          </w:p>
          <w:p>
            <w:pPr/>
            <w:r>
              <w:rPr/>
              <w:t xml:space="preserve">Notice d’encyclopédie ou de dictionnaire</w:t>
            </w:r>
          </w:p>
          <w:p>
            <w:pPr/>
            <w:hyperlink r:id="rId30" w:history="1">
              <w:r>
                <w:rPr>
                  <w:color w:val="#410a8c"/>
                  <w:u w:val="single"/>
                </w:rPr>
                <w:t xml:space="preserve">hal-05185145v1</w:t>
              </w:r>
            </w:hyperlink>
          </w:p>
        </w:tc>
      </w:tr>
      <w:tr>
        <w:trPr/>
        <w:tc>
          <w:tcPr>
            <w:noWrap/>
          </w:tcPr>
          <w:p>
            <w:pPr>
              <w:spacing w:after="200"/>
            </w:pPr>
            <w:hyperlink r:id="rId31" w:history="1">
              <w:r>
                <w:rPr>
                  <w:color w:val="1e198e"/>
                  <w:b w:val="1"/>
                  <w:bCs w:val="1"/>
                  <w:u w:val="single"/>
                </w:rPr>
                <w:t xml:space="preserve">Validations législatives</w:t>
              </w:r>
            </w:hyperlink>
          </w:p>
          <w:p>
            <w:pPr/>
            <w:hyperlink r:id="rId8" w:history="1">
              <w:r>
                <w:rPr>
                  <w:color w:val="#410a8c"/>
                  <w:u w:val="single"/>
                </w:rPr>
                <w:t xml:space="preserve">Victoria Dhaisne</w:t>
              </w:r>
            </w:hyperlink>
          </w:p>
          <w:p>
            <w:pPr/>
            <w:r>
              <w:rPr>
                <w:i w:val="1"/>
                <w:iCs w:val="1"/>
              </w:rPr>
              <w:t xml:space="preserve">Dictionnaire thématique de la Convention européenne des droits de l’homme</w:t>
            </w:r>
            <w:r>
              <w:rPr/>
              <w:t xml:space="preserve">, 2022, pp.434-435</w:t>
            </w:r>
          </w:p>
          <w:p>
            <w:pPr/>
            <w:r>
              <w:rPr/>
              <w:t xml:space="preserve">Notice d’encyclopédie ou de dictionnaire</w:t>
            </w:r>
          </w:p>
          <w:p>
            <w:pPr/>
            <w:hyperlink r:id="rId31" w:history="1">
              <w:r>
                <w:rPr>
                  <w:color w:val="#410a8c"/>
                  <w:u w:val="single"/>
                </w:rPr>
                <w:t xml:space="preserve">hal-05185149v1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Protection of Individuals in the Context of their Participation to International Investigations through Social Media</w:t>
              </w:r>
            </w:hyperlink>
          </w:p>
          <w:p>
            <w:pPr/>
            <w:hyperlink r:id="rId8" w:history="1">
              <w:r>
                <w:rPr>
                  <w:color w:val="#410a8c"/>
                  <w:u w:val="single"/>
                </w:rPr>
                <w:t xml:space="preserve">Victoria Dhaisne</w:t>
              </w:r>
            </w:hyperlink>
          </w:p>
          <w:p>
            <w:pPr/>
            <w:r>
              <w:rPr/>
              <w:t xml:space="preserve">2024</w:t>
            </w:r>
          </w:p>
          <w:p>
            <w:pPr/>
            <w:r>
              <w:rPr/>
              <w:t xml:space="preserve">Pré-publication, Document de travail</w:t>
            </w:r>
            <w:r>
              <w:rPr/>
              <w:t xml:space="preserve"> (working paper)</w:t>
            </w:r>
          </w:p>
          <w:p>
            <w:pPr/>
            <w:hyperlink r:id="rId32" w:history="1">
              <w:r>
                <w:rPr>
                  <w:color w:val="#410a8c"/>
                  <w:u w:val="single"/>
                </w:rPr>
                <w:t xml:space="preserve">hal-05185251v1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participation des individus à l’enquête en droit international à travers les réseaux sociaux</w:t>
              </w:r>
            </w:hyperlink>
          </w:p>
          <w:p>
            <w:pPr/>
            <w:hyperlink r:id="rId34" w:history="1">
              <w:r>
                <w:rPr>
                  <w:color w:val="#410a8c"/>
                  <w:u w:val="single"/>
                </w:rPr>
                <w:t xml:space="preserve">Sarah Jamal</w:t>
              </w:r>
            </w:hyperlink>
            <w:r>
              <w:rPr/>
              <w:t xml:space="preserve">,</w:t>
            </w:r>
            <w:hyperlink r:id="rId35" w:history="1">
              <w:r>
                <w:rPr>
                  <w:color w:val="#410a8c"/>
                  <w:u w:val="single"/>
                </w:rPr>
                <w:t xml:space="preserve">Marie Obidzinski</w:t>
              </w:r>
            </w:hyperlink>
            <w:r>
              <w:rPr/>
              <w:t xml:space="preserve">,</w:t>
            </w:r>
            <w:hyperlink r:id="rId36" w:history="1">
              <w:r>
                <w:rPr>
                  <w:color w:val="#410a8c"/>
                  <w:u w:val="single"/>
                </w:rPr>
                <w:t xml:space="preserve">Bruno Deffains</w:t>
              </w:r>
            </w:hyperlink>
            <w:r>
              <w:rPr/>
              <w:t xml:space="preserve">,</w:t>
            </w:r>
            <w:hyperlink r:id="rId37" w:history="1">
              <w:r>
                <w:rPr>
                  <w:color w:val="#410a8c"/>
                  <w:u w:val="single"/>
                </w:rPr>
                <w:t xml:space="preserve">Olivier de Frouville</w:t>
              </w:r>
            </w:hyperlink>
            <w:r>
              <w:rPr/>
              <w:t xml:space="preserve">,</w:t>
            </w:r>
            <w:hyperlink r:id="rId38" w:history="1">
              <w:r>
                <w:rPr>
                  <w:color w:val="#410a8c"/>
                  <w:u w:val="single"/>
                </w:rPr>
                <w:t xml:space="preserve">Wendy Carazo Méndez</w:t>
              </w:r>
            </w:hyperlink>
            <w:r>
              <w:rPr/>
              <w:t xml:space="preserve">et al.</w:t>
            </w:r>
          </w:p>
          <w:p>
            <w:pPr/>
            <w:r>
              <w:rPr/>
              <w:t xml:space="preserve">21.53, IERDJ - Institut des Études et de la Recherche sur le Droit et la Justice. 2025, pp.212</w:t>
            </w:r>
          </w:p>
          <w:p>
            <w:pPr/>
            <w:r>
              <w:rPr/>
              <w:t xml:space="preserve">Rapport</w:t>
            </w:r>
            <w:r>
              <w:rPr/>
              <w:t xml:space="preserve"> (rapport de recherche)</w:t>
            </w:r>
          </w:p>
          <w:p>
            <w:pPr/>
            <w:hyperlink r:id="rId33" w:history="1">
              <w:r>
                <w:rPr>
                  <w:color w:val="#410a8c"/>
                  <w:u w:val="single"/>
                </w:rPr>
                <w:t xml:space="preserve">hal-05170180v1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8506v1" TargetMode="External"/><Relationship Id="rId8" Type="http://schemas.openxmlformats.org/officeDocument/2006/relationships/hyperlink" Target="https://hal.science/search/index/?q=*&amp;authFullName_s=Victoria Dhaisne" TargetMode="External"/><Relationship Id="rId9" Type="http://schemas.openxmlformats.org/officeDocument/2006/relationships/hyperlink" Target="https://hal.science/hal-05185123v1" TargetMode="External"/><Relationship Id="rId10" Type="http://schemas.openxmlformats.org/officeDocument/2006/relationships/hyperlink" Target="https://hal.science/hal-05185183v1" TargetMode="External"/><Relationship Id="rId11" Type="http://schemas.openxmlformats.org/officeDocument/2006/relationships/hyperlink" Target="https://hal.science/hal-05185220v1" TargetMode="External"/><Relationship Id="rId12" Type="http://schemas.openxmlformats.org/officeDocument/2006/relationships/hyperlink" Target="https://hal.science/hal-05185216v1" TargetMode="External"/><Relationship Id="rId13" Type="http://schemas.openxmlformats.org/officeDocument/2006/relationships/hyperlink" Target="https://hal.science/hal-05185188v1" TargetMode="External"/><Relationship Id="rId14" Type="http://schemas.openxmlformats.org/officeDocument/2006/relationships/hyperlink" Target="https://hal.science/hal-05185194v1" TargetMode="External"/><Relationship Id="rId15" Type="http://schemas.openxmlformats.org/officeDocument/2006/relationships/hyperlink" Target="https://hal.science/hal-05185206v1" TargetMode="External"/><Relationship Id="rId16" Type="http://schemas.openxmlformats.org/officeDocument/2006/relationships/hyperlink" Target="https://hal.science/hal-05185204v1" TargetMode="External"/><Relationship Id="rId17" Type="http://schemas.openxmlformats.org/officeDocument/2006/relationships/hyperlink" Target="https://hal.science/hal-05185200v1" TargetMode="External"/><Relationship Id="rId18" Type="http://schemas.openxmlformats.org/officeDocument/2006/relationships/hyperlink" Target="https://hal.science/hal-05185163v1" TargetMode="External"/><Relationship Id="rId19" Type="http://schemas.openxmlformats.org/officeDocument/2006/relationships/hyperlink" Target="https://hal.science/hal-05185223v1" TargetMode="External"/><Relationship Id="rId20" Type="http://schemas.openxmlformats.org/officeDocument/2006/relationships/hyperlink" Target="https://hal.science/hal-05185159v1" TargetMode="External"/><Relationship Id="rId21" Type="http://schemas.openxmlformats.org/officeDocument/2006/relationships/hyperlink" Target="https://hal.science/hal-05185230v1" TargetMode="External"/><Relationship Id="rId22" Type="http://schemas.openxmlformats.org/officeDocument/2006/relationships/hyperlink" Target="https://hal.science/hal-05185166v1" TargetMode="External"/><Relationship Id="rId23" Type="http://schemas.openxmlformats.org/officeDocument/2006/relationships/hyperlink" Target="https://hal.science/hal-05185170v1" TargetMode="External"/><Relationship Id="rId24" Type="http://schemas.openxmlformats.org/officeDocument/2006/relationships/hyperlink" Target="https://hal.science/hal-05185228v1" TargetMode="External"/><Relationship Id="rId25" Type="http://schemas.openxmlformats.org/officeDocument/2006/relationships/hyperlink" Target="https://hal.science/hal-05185236v1" TargetMode="External"/><Relationship Id="rId26" Type="http://schemas.openxmlformats.org/officeDocument/2006/relationships/hyperlink" Target="https://hal.science/hal-05185239v1" TargetMode="External"/><Relationship Id="rId27" Type="http://schemas.openxmlformats.org/officeDocument/2006/relationships/hyperlink" Target="https://hal.science/hal-05185233v1" TargetMode="External"/><Relationship Id="rId28" Type="http://schemas.openxmlformats.org/officeDocument/2006/relationships/hyperlink" Target="https://hal.science/hal-05185175v1" TargetMode="External"/><Relationship Id="rId29" Type="http://schemas.openxmlformats.org/officeDocument/2006/relationships/hyperlink" Target="https://hal.science/hal-05185137v1" TargetMode="External"/><Relationship Id="rId30" Type="http://schemas.openxmlformats.org/officeDocument/2006/relationships/hyperlink" Target="https://hal.science/hal-05185145v1" TargetMode="External"/><Relationship Id="rId31" Type="http://schemas.openxmlformats.org/officeDocument/2006/relationships/hyperlink" Target="https://hal.science/hal-05185149v1" TargetMode="External"/><Relationship Id="rId32" Type="http://schemas.openxmlformats.org/officeDocument/2006/relationships/hyperlink" Target="https://hal.science/hal-05185251v1" TargetMode="External"/><Relationship Id="rId33" Type="http://schemas.openxmlformats.org/officeDocument/2006/relationships/hyperlink" Target="https://hal.science/hal-05170180v1" TargetMode="External"/><Relationship Id="rId34" Type="http://schemas.openxmlformats.org/officeDocument/2006/relationships/hyperlink" Target="https://hal.science/search/index/?q=*&amp;authFullName_s=Sarah Jamal" TargetMode="External"/><Relationship Id="rId35" Type="http://schemas.openxmlformats.org/officeDocument/2006/relationships/hyperlink" Target="https://hal.science/search/index/?q=*&amp;authFullName_s=Marie Obidzinski" TargetMode="External"/><Relationship Id="rId36" Type="http://schemas.openxmlformats.org/officeDocument/2006/relationships/hyperlink" Target="https://hal.science/search/index/?q=*&amp;authFullName_s=Bruno Deffains" TargetMode="External"/><Relationship Id="rId37" Type="http://schemas.openxmlformats.org/officeDocument/2006/relationships/hyperlink" Target="https://hal.science/search/index/?q=*&amp;authFullName_s=Olivier de Frouville" TargetMode="External"/><Relationship Id="rId38" Type="http://schemas.openxmlformats.org/officeDocument/2006/relationships/hyperlink" Target="https://hal.science/search/index/?q=*&amp;authFullName_s=Wendy Carazo M&#233;ndez"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Dhaisne</dc:title>
  <dc:description>CV</dc:description>
  <dc:subject/>
  <cp:keywords/>
  <cp:category/>
  <cp:lastModifiedBy/>
  <dcterms:created xsi:type="dcterms:W3CDTF">2026-03-16T06:52:26+01:00</dcterms:created>
  <dcterms:modified xsi:type="dcterms:W3CDTF">2026-03-16T06:52:26+01:00</dcterms:modified>
</cp:coreProperties>
</file>

<file path=docProps/custom.xml><?xml version="1.0" encoding="utf-8"?>
<Properties xmlns="http://schemas.openxmlformats.org/officeDocument/2006/custom-properties" xmlns:vt="http://schemas.openxmlformats.org/officeDocument/2006/docPropsVTypes"/>
</file>