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Dieudonné Akpo </w:t>
      </w:r>
      <w:r>
        <w:rPr>
          <w:color w:val="641e6e"/>
        </w:rPr>
        <w:t xml:space="preserve">Dieudonné AkpoChargé de cours, Uco, Laval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dieudonne-akpo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“influencer” can mean. The mechanisms of logos beyond pathos in a journalistic column on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Dieudonné 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savoirs</w:t>
            </w:r>
            <w:r>
              <w:rPr/>
              <w:t xml:space="preserve">, 2024, Influenceur ou influenceuse, une position socio-numérique en débat. Regard des sciences du langage, de l'information et de la communication, 1,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hal-04565528v1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B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udonne-akpo" TargetMode="External"/><Relationship Id="rId9" Type="http://schemas.openxmlformats.org/officeDocument/2006/relationships/hyperlink" Target="https://hal.science/hal-04565528v1" TargetMode="External"/><Relationship Id="rId10" Type="http://schemas.openxmlformats.org/officeDocument/2006/relationships/hyperlink" Target="https://hal.science/search/index/?q=*&amp;authFullName_s=Dieudonn&#233; Akpo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Dieudonné Akpo</dc:title>
  <dc:description>CV</dc:description>
  <dc:subject/>
  <cp:keywords/>
  <cp:category/>
  <cp:lastModifiedBy/>
  <dcterms:created xsi:type="dcterms:W3CDTF">2026-03-15T23:28:19+01:00</dcterms:created>
  <dcterms:modified xsi:type="dcterms:W3CDTF">2026-03-15T23:28:19+01:00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