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Dylan Beccaria </w:t>
      </w:r>
      <w:r>
        <w:rPr>
          <w:color w:val="641e6e"/>
        </w:rPr>
        <w:t xml:space="preserve">Docteur de l'université d'Aix-Marseille (TELEMMe/CERHIIP)ATER à l'Université de Bourgogne-Europe (CREDESPO)Qualifié aux fonctions de maître de conférences (sections 03 et 22)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dylan-beccaria</w:t>
        </w:r>
      </w:hyperlink>
    </w:p>
    <w:p>
      <w:pPr>
        <w:spacing w:before="600"/>
      </w:pPr>
    </w:p>
    <w:p>
      <w:pPr>
        <w:pStyle w:val="Heading2"/>
      </w:pPr>
      <w:r>
        <w:rPr>
          <w:color w:val="1e198e"/>
          <w:b w:val="1"/>
          <w:bCs w:val="1"/>
        </w:rPr>
        <w:t xml:space="preserve">Présentation</w:t>
      </w:r>
    </w:p>
    <w:p>
      <w:pPr>
        <w:spacing w:after="100"/>
      </w:pPr>
    </w:p>
    <w:p>
      <w:pPr>
        <w:pStyle w:val="Heading3"/>
      </w:pPr>
      <w:r>
        <w:rPr/>
        <w:t xml:space="preserve">Thèse de doctorat</w:t>
      </w:r>
    </w:p>
    <w:p>
      <w:pPr/>
      <w:r>
        <w:rPr>
          <w:b w:val="1"/>
          <w:bCs w:val="1"/>
        </w:rPr>
        <w:t xml:space="preserve">Un pouvoir de miséricorde. Grâce, justice criminelle et affirmation de l’État monarchique en Provence au premier XVIIe siècle.</w:t>
      </w:r>
      <w:r>
        <w:rPr/>
        <w:t xml:space="preserve">La miséricorde du roi constitue l’un des principaux piliers de l’économie de la dette de justice dans la France d’Ancien Régime. Elle s’exprime à travers des actes de chancellerie, les lettres de grâce, par lesquelles le souverain pardonne un crime et restaure son auteur dans sa bonne renommée. Si ces lettres sont l’une des sources les plus fréquemment sollicitées par les historiens et historiens du droit depuis les années 1980, aucune étude ne s’est véritablement intéressée à la pratique de la grâce au début du XVIIe siècle. À partir de l’analyse croisée des archives judiciaires provençales et de la production doctrinale, cette thèse entend reconstituer les mécanismes procéduraux à l’œuvre tout en montrant comment le processus d’autonomisation de la raison politique, propre au règne des premiers Bourbons, a façonné la pratique de la grâce judiciaire. Au lendemain des guerres de Religion, le pardon royal s’affirme en effet comme la seule voie vers la pacification du royaume. L’accroissement de l’administration étatique — rendu nécessaire par les guerres civiles — et la technicisation progressive du droit tendent à faire de la grâce une expression routinière de l’exercice du pouvoir, insérée dans un mécanisme procédural toujours plus désincarné. Pourtant, la pratique conserve une forte portée symbolique, exacerbée par le processus de sacralisation de la figure royale, caractéristique du premier XVIIe siècle.</w:t>
      </w:r>
    </w:p>
    <w:p>
      <w:pPr>
        <w:pStyle w:val="Heading3"/>
      </w:pPr>
      <w:r>
        <w:rPr/>
        <w:t xml:space="preserve">Formations et titres universitaires</w:t>
      </w:r>
    </w:p>
    <w:p>
      <w:pPr>
        <w:numPr>
          <w:ilvl w:val="0"/>
          <w:numId w:val="2"/>
        </w:numPr>
      </w:pPr>
      <w:r>
        <w:rPr/>
        <w:t xml:space="preserve">2025 Doctorat de l’Université d’Aix-MarseilleThèse préparée dans le cadre d’un programme interdisciplinaire au sein des écoles doctorales Espaces, cultures, sociétés (ED 355) et Sciences juridiques et politiques (ED 67), sous la codirection de Julien BROCH (AMU, CERHIIP) et de Lucien FAGGION (AMU, CNRS, TELEMMe).Titre : </w:t>
      </w:r>
      <w:r>
        <w:rPr>
          <w:i w:val="1"/>
          <w:iCs w:val="1"/>
        </w:rPr>
        <w:t xml:space="preserve">Un pouvoir de miséricorde. Grâce, justice criminelle et affirmation de l’État monarchique en Provence au premier XVIIe siècle</w:t>
      </w:r>
      <w:r>
        <w:rPr/>
        <w:t xml:space="preserve">.Thèse soutenue le 5 mai 2025. Grade de docteur obtenu avec les félicitations du jury à l’unanimité. Composition du jury :– Pierre BONIN, Université Panthéon-Sorbonne (Président) ;– Céline BORELLO, Université du Mans (Rapporteur) ;– Mathieu SOULA, Université Paris-Nanterre (Rapporteur) ;– Stuart CARROLL, Université d’York ;– Stéphanie BLOT-MACCAGNAN, Université Côte d’Azur ;– Diane ROUSSEL, Université Gustave Eiffel.</w:t>
      </w:r>
    </w:p>
    <w:p>
      <w:pPr>
        <w:numPr>
          <w:ilvl w:val="0"/>
          <w:numId w:val="2"/>
        </w:numPr>
      </w:pPr>
      <w:r>
        <w:rPr/>
        <w:t xml:space="preserve">2019	Master en Droit, spécialité « Histoire du droit et des institutions ». Université d’Aix-Marseille</w:t>
      </w:r>
    </w:p>
    <w:p>
      <w:pPr>
        <w:numPr>
          <w:ilvl w:val="0"/>
          <w:numId w:val="2"/>
        </w:numPr>
      </w:pPr>
      <w:r>
        <w:rPr/>
        <w:t xml:space="preserve">2018	Master en Histoire, spécialité « Le monde moderne et contemporain ». Université d’Aix-Marseille</w:t>
      </w:r>
    </w:p>
    <w:p>
      <w:pPr>
        <w:numPr>
          <w:ilvl w:val="0"/>
          <w:numId w:val="2"/>
        </w:numPr>
      </w:pPr>
      <w:r>
        <w:rPr/>
        <w:t xml:space="preserve">2016	Licence en Histoire. Université d’Aix-Marseille</w:t>
      </w:r>
    </w:p>
    <w:p>
      <w:pPr>
        <w:pStyle w:val="Heading3"/>
      </w:pPr>
      <w:r>
        <w:rPr/>
        <w:t xml:space="preserve">Activités d’enseignement</w:t>
      </w:r>
    </w:p>
    <w:p>
      <w:pPr/>
      <w:r>
        <w:rPr/>
        <w:t xml:space="preserve">2025-2026 Attaché temporaire d'enseignement et de recherche en Histoire du droit (Université de Bourgogne-Europe, Faculté de Droit, Sciences Economique et Politique) :−	Introduction au droit privé, L1 Droit, 75 HETD ;−	Histoire du droit des obligations, L1 Droit, 72 HETD ;−	Histoire du droit pénal, L2 Droit, 48 HETD.</w:t>
      </w:r>
    </w:p>
    <w:p>
      <w:pPr/>
      <w:r>
        <w:rPr/>
        <w:t xml:space="preserve">2024-2025	Enseignant vacataire en Histoire du droit (Université d’Aix-Marseille, Faculté de Droit) :−	Histoire du droit public, L1 Droit, 48 HETD.</w:t>
      </w:r>
    </w:p>
    <w:p>
      <w:pPr/>
      <w:r>
        <w:rPr/>
        <w:t xml:space="preserve">2023-2024	Attaché temporaire d’enseignement et de recherche en Histoire du droit (Université d’Aix-Marseille, Faculté de Droit, Centre d’études et de recherches en histoire des idées et des institutions politiques) :−	Histoire de la construction de l'État (XVe-XVIIIe siècle), L1 Droit, 90 HETD ;−	Histoire du droit de la famille, L1 Droit, 90 HETD ;−	Histoire de la pensée juridique, M1 Histoire du droit, 12 HETD.</w:t>
      </w:r>
    </w:p>
    <w:p>
      <w:pPr/>
      <w:r>
        <w:rPr/>
        <w:t xml:space="preserve">2022-2023	Enseignant vacataire en Histoire du droit (Université d’Aix-Marseille, Faculté de Droit) :−	Histoire de la construction de l'État (XVe-XVIIIe siècle), L1 Droit, 18 HETD.</w:t>
      </w:r>
    </w:p>
    <w:p>
      <w:pPr/>
      <w:r>
        <w:rPr/>
        <w:t xml:space="preserve">2021-2022	Chargé de mission d’enseignement en Histoire moderne (Université d’Aix-Marseille, Faculté des Lettres) :−	Méthodologie de l'histoire, L1 Histoire, 24 HETD ;−	Histoire des sociétés de l'Europe moderne et contemporaine, L1 Histoire, 24 HETD ;−	L'Europe et le monde à l'époque moderne, L2 Histoire, 18 HETD.</w:t>
      </w:r>
    </w:p>
    <w:p>
      <w:pPr/>
      <w:r>
        <w:rPr/>
        <w:t xml:space="preserve">2020-2021	Chargé de mission d’enseignement en Histoire moderne (Université d’Aix-Marseille, Faculté des Lettres) :−	Méthodologie de l'histoire, L1 Histoire, 24 HETD ;−	Histoire des sociétés de l'Europe moderne et contemporaine, L1 Histoire, 24 HETD ;−	L'Europe et le monde à l'époque moderne, L2 Histoire, 18 HETD.</w:t>
      </w:r>
    </w:p>
    <w:p>
      <w:pPr/>
      <w:r>
        <w:rPr/>
        <w:t xml:space="preserve">2019-2020	Chargé de mission d’enseignement en Histoire du droit (Université d’Aix-Marseille, Faculté de Droit) :−	Histoire de la construction de l'État (XVe-XVIIIe siècle), L1 Droit, 36 HETD ;−	Histoire du droit de la famille, L1 Droit, 28 HETD.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Distance géographique et accès à la justice dans la France de la première moitié du XVIIe siècle : le problème des évocations</w:t>
              </w:r>
            </w:hyperlink>
          </w:p>
          <w:p>
            <w:pPr/>
            <w:hyperlink r:id="rId10" w:history="1">
              <w:r>
                <w:rPr>
                  <w:color w:val="#410a8c"/>
                  <w:u w:val="single"/>
                </w:rPr>
                <w:t xml:space="preserve">Dylan Beccaria</w:t>
              </w:r>
            </w:hyperlink>
          </w:p>
          <w:p>
            <w:pPr/>
            <w:r>
              <w:rPr>
                <w:i w:val="1"/>
                <w:iCs w:val="1"/>
              </w:rPr>
              <w:t xml:space="preserve">Les Cahiers de droit</w:t>
            </w:r>
            <w:r>
              <w:rPr/>
              <w:t xml:space="preserve">, 2024, 65 (1), pp.49-76. </w:t>
            </w:r>
            <w:hyperlink r:id="rId11" w:history="1">
              <w:r>
                <w:rPr>
                  <w:color w:val="#410a8c"/>
                  <w:u w:val="single"/>
                </w:rPr>
                <w:t xml:space="preserve">⟨10.7202/1111992ar⟩</w:t>
              </w:r>
            </w:hyperlink>
          </w:p>
          <w:p>
            <w:pPr/>
            <w:r>
              <w:rPr/>
              <w:t xml:space="preserve">Article dans une revue</w:t>
            </w:r>
          </w:p>
          <w:p>
            <w:pPr/>
            <w:hyperlink r:id="rId9" w:history="1">
              <w:r>
                <w:rPr>
                  <w:color w:val="#410a8c"/>
                  <w:u w:val="single"/>
                </w:rPr>
                <w:t xml:space="preserve">hal-04617374v1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parlement de Provence et l'exercice de la justice souveraine à Marseille au lendemain des guerres de Religion</w:t>
              </w:r>
            </w:hyperlink>
          </w:p>
          <w:p>
            <w:pPr/>
            <w:hyperlink r:id="rId10" w:history="1">
              <w:r>
                <w:rPr>
                  <w:color w:val="#410a8c"/>
                  <w:u w:val="single"/>
                </w:rPr>
                <w:t xml:space="preserve">Dylan Beccaria</w:t>
              </w:r>
            </w:hyperlink>
          </w:p>
          <w:p>
            <w:pPr/>
            <w:r>
              <w:rPr>
                <w:i w:val="1"/>
                <w:iCs w:val="1"/>
              </w:rPr>
              <w:t xml:space="preserve">Colloque du projet JEMO - Justice en Méditerranée occidentale</w:t>
            </w:r>
            <w:r>
              <w:rPr/>
              <w:t xml:space="preserve">, CERHIIP, Faculté de droit d'Aix-Marseille, Nov 2024, Aix-en-Provence, France</w:t>
            </w:r>
          </w:p>
          <w:p>
            <w:pPr/>
            <w:r>
              <w:rPr/>
              <w:t xml:space="preserve">Communication dans un congrès</w:t>
            </w:r>
          </w:p>
          <w:p>
            <w:pPr/>
            <w:hyperlink r:id="rId12" w:history="1">
              <w:r>
                <w:rPr>
                  <w:color w:val="#410a8c"/>
                  <w:u w:val="single"/>
                </w:rPr>
                <w:t xml:space="preserve">hal-04812546v1</w:t>
              </w:r>
            </w:hyperlink>
          </w:p>
        </w:tc>
      </w:tr>
      <w:tr>
        <w:trPr/>
        <w:tc>
          <w:tcPr>
            <w:noWrap/>
          </w:tcPr>
          <w:p>
            <w:pPr>
              <w:spacing w:after="200"/>
            </w:pPr>
            <w:hyperlink r:id="rId13" w:history="1">
              <w:r>
                <w:rPr>
                  <w:color w:val="1e198e"/>
                  <w:b w:val="1"/>
                  <w:bCs w:val="1"/>
                  <w:u w:val="single"/>
                </w:rPr>
                <w:t xml:space="preserve">Justice et institutions judiciaires en temps de peste (Provence, XVIe-XVIIe siècles)</w:t>
              </w:r>
            </w:hyperlink>
          </w:p>
          <w:p>
            <w:pPr/>
            <w:hyperlink r:id="rId10" w:history="1">
              <w:r>
                <w:rPr>
                  <w:color w:val="#410a8c"/>
                  <w:u w:val="single"/>
                </w:rPr>
                <w:t xml:space="preserve">Dylan Beccaria</w:t>
              </w:r>
            </w:hyperlink>
          </w:p>
          <w:p>
            <w:pPr/>
            <w:r>
              <w:rPr>
                <w:i w:val="1"/>
                <w:iCs w:val="1"/>
              </w:rPr>
              <w:t xml:space="preserve">Colloque Institutions et crises</w:t>
            </w:r>
            <w:r>
              <w:rPr/>
              <w:t xml:space="preserve">, TEMPORA (Université Rennes 2, CNRS)., Mar 2023, Rennes, France</w:t>
            </w:r>
          </w:p>
          <w:p>
            <w:pPr/>
            <w:r>
              <w:rPr/>
              <w:t xml:space="preserve">Communication dans un congrès</w:t>
            </w:r>
          </w:p>
          <w:p>
            <w:pPr/>
            <w:hyperlink r:id="rId13" w:history="1">
              <w:r>
                <w:rPr>
                  <w:color w:val="#410a8c"/>
                  <w:u w:val="single"/>
                </w:rPr>
                <w:t xml:space="preserve">hal-04126408v1</w:t>
              </w:r>
            </w:hyperlink>
          </w:p>
        </w:tc>
      </w:tr>
      <w:tr>
        <w:trPr/>
        <w:tc>
          <w:tcPr>
            <w:noWrap/>
          </w:tcPr>
          <w:p>
            <w:pPr>
              <w:spacing w:after="200"/>
            </w:pPr>
            <w:hyperlink r:id="rId14" w:history="1">
              <w:r>
                <w:rPr>
                  <w:color w:val="1e198e"/>
                  <w:b w:val="1"/>
                  <w:bCs w:val="1"/>
                  <w:u w:val="single"/>
                </w:rPr>
                <w:t xml:space="preserve">Temps judiciaire et stratégies des justiciables dans les vérifications de lettres de grâce (Provence, début du XVIIe siècle)</w:t>
              </w:r>
            </w:hyperlink>
          </w:p>
          <w:p>
            <w:pPr/>
            <w:hyperlink r:id="rId10" w:history="1">
              <w:r>
                <w:rPr>
                  <w:color w:val="#410a8c"/>
                  <w:u w:val="single"/>
                </w:rPr>
                <w:t xml:space="preserve">Dylan Beccaria</w:t>
              </w:r>
            </w:hyperlink>
          </w:p>
          <w:p>
            <w:pPr/>
            <w:r>
              <w:rPr>
                <w:i w:val="1"/>
                <w:iCs w:val="1"/>
              </w:rPr>
              <w:t xml:space="preserve">Le temps de la justice aux époques moderne et contemporaine</w:t>
            </w:r>
            <w:r>
              <w:rPr/>
              <w:t xml:space="preserve">, Oct 2023, Lyon (Maison des Sciences de l'Homme), France</w:t>
            </w:r>
          </w:p>
          <w:p>
            <w:pPr/>
            <w:r>
              <w:rPr/>
              <w:t xml:space="preserve">Communication dans un congrès</w:t>
            </w:r>
          </w:p>
          <w:p>
            <w:pPr/>
            <w:hyperlink r:id="rId14" w:history="1">
              <w:r>
                <w:rPr>
                  <w:color w:val="#410a8c"/>
                  <w:u w:val="single"/>
                </w:rPr>
                <w:t xml:space="preserve">hal-04270182v1</w:t>
              </w:r>
            </w:hyperlink>
          </w:p>
        </w:tc>
      </w:tr>
      <w:tr>
        <w:trPr/>
        <w:tc>
          <w:tcPr>
            <w:noWrap/>
          </w:tcPr>
          <w:p>
            <w:pPr>
              <w:spacing w:after="200"/>
            </w:pPr>
            <w:hyperlink r:id="rId15" w:history="1">
              <w:r>
                <w:rPr>
                  <w:color w:val="1e198e"/>
                  <w:b w:val="1"/>
                  <w:bCs w:val="1"/>
                  <w:u w:val="single"/>
                </w:rPr>
                <w:t xml:space="preserve">Les sources judiciaires de l’époque moderne : enjeux, historiographie et méthodes</w:t>
              </w:r>
            </w:hyperlink>
          </w:p>
          <w:p>
            <w:pPr/>
            <w:hyperlink r:id="rId10" w:history="1">
              <w:r>
                <w:rPr>
                  <w:color w:val="#410a8c"/>
                  <w:u w:val="single"/>
                </w:rPr>
                <w:t xml:space="preserve">Dylan Beccaria</w:t>
              </w:r>
            </w:hyperlink>
            <w:r>
              <w:rPr/>
              <w:t xml:space="preserve">,</w:t>
            </w:r>
            <w:hyperlink r:id="rId16" w:history="1">
              <w:r>
                <w:rPr>
                  <w:color w:val="#410a8c"/>
                  <w:u w:val="single"/>
                </w:rPr>
                <w:t xml:space="preserve">Cécile Bournat-Quérat</w:t>
              </w:r>
            </w:hyperlink>
          </w:p>
          <w:p>
            <w:pPr/>
            <w:r>
              <w:rPr>
                <w:i w:val="1"/>
                <w:iCs w:val="1"/>
              </w:rPr>
              <w:t xml:space="preserve">Table ronde inter-laboratoire sur les études historiques (MeSoPolHis, TELEMMe)</w:t>
            </w:r>
            <w:r>
              <w:rPr/>
              <w:t xml:space="preserve">, Apr 2022, Aix-en-Provence, France</w:t>
            </w:r>
          </w:p>
          <w:p>
            <w:pPr/>
            <w:r>
              <w:rPr/>
              <w:t xml:space="preserve">Communication dans un congrès</w:t>
            </w:r>
          </w:p>
          <w:p>
            <w:pPr/>
            <w:hyperlink r:id="rId15" w:history="1">
              <w:r>
                <w:rPr>
                  <w:color w:val="#410a8c"/>
                  <w:u w:val="single"/>
                </w:rPr>
                <w:t xml:space="preserve">hal-03653296v1</w:t>
              </w:r>
            </w:hyperlink>
          </w:p>
        </w:tc>
      </w:tr>
      <w:tr>
        <w:trPr/>
        <w:tc>
          <w:tcPr>
            <w:noWrap/>
          </w:tcPr>
          <w:p>
            <w:pPr>
              <w:spacing w:after="200"/>
            </w:pPr>
            <w:hyperlink r:id="rId17" w:history="1">
              <w:r>
                <w:rPr>
                  <w:color w:val="1e198e"/>
                  <w:b w:val="1"/>
                  <w:bCs w:val="1"/>
                  <w:u w:val="single"/>
                </w:rPr>
                <w:t xml:space="preserve">Fuir la ville, échapper à la justice et demander grâce au roi. Les citadins provençaux face à la justice au début du XVIIe siècle</w:t>
              </w:r>
            </w:hyperlink>
          </w:p>
          <w:p>
            <w:pPr/>
            <w:hyperlink r:id="rId10" w:history="1">
              <w:r>
                <w:rPr>
                  <w:color w:val="#410a8c"/>
                  <w:u w:val="single"/>
                </w:rPr>
                <w:t xml:space="preserve">Dylan Beccaria</w:t>
              </w:r>
            </w:hyperlink>
          </w:p>
          <w:p>
            <w:pPr/>
            <w:r>
              <w:rPr>
                <w:i w:val="1"/>
                <w:iCs w:val="1"/>
              </w:rPr>
              <w:t xml:space="preserve">L'autorité dans la ville de l'Antiquité à nos jours : la justice contestée</w:t>
            </w:r>
            <w:r>
              <w:rPr/>
              <w:t xml:space="preserve">, Mar 2022, Montpellier, France</w:t>
            </w:r>
          </w:p>
          <w:p>
            <w:pPr/>
            <w:r>
              <w:rPr/>
              <w:t xml:space="preserve">Communication dans un congrès</w:t>
            </w:r>
          </w:p>
          <w:p>
            <w:pPr/>
            <w:hyperlink r:id="rId17" w:history="1">
              <w:r>
                <w:rPr>
                  <w:color w:val="#410a8c"/>
                  <w:u w:val="single"/>
                </w:rPr>
                <w:t xml:space="preserve">hal-03614059v1</w:t>
              </w:r>
            </w:hyperlink>
          </w:p>
        </w:tc>
      </w:tr>
      <w:tr>
        <w:trPr/>
        <w:tc>
          <w:tcPr>
            <w:noWrap/>
          </w:tcPr>
          <w:p>
            <w:pPr>
              <w:spacing w:after="200"/>
            </w:pPr>
            <w:hyperlink r:id="rId18" w:history="1">
              <w:r>
                <w:rPr>
                  <w:color w:val="1e198e"/>
                  <w:b w:val="1"/>
                  <w:bCs w:val="1"/>
                  <w:u w:val="single"/>
                </w:rPr>
                <w:t xml:space="preserve">Le parlement de Provence et la pratique de la grâce royale (XVIe-XVIIe siècle)</w:t>
              </w:r>
            </w:hyperlink>
          </w:p>
          <w:p>
            <w:pPr/>
            <w:hyperlink r:id="rId10" w:history="1">
              <w:r>
                <w:rPr>
                  <w:color w:val="#410a8c"/>
                  <w:u w:val="single"/>
                </w:rPr>
                <w:t xml:space="preserve">Dylan Beccaria</w:t>
              </w:r>
            </w:hyperlink>
          </w:p>
          <w:p>
            <w:pPr/>
            <w:r>
              <w:rPr>
                <w:i w:val="1"/>
                <w:iCs w:val="1"/>
              </w:rPr>
              <w:t xml:space="preserve">Séminaire Parlement(s) et cours souveraines sous l'Ancien Régime</w:t>
            </w:r>
            <w:r>
              <w:rPr/>
              <w:t xml:space="preserve">, Apr 2022, Paris, Université Panthéon-Assas, France</w:t>
            </w:r>
          </w:p>
          <w:p>
            <w:pPr/>
            <w:r>
              <w:rPr/>
              <w:t xml:space="preserve">Communication dans un congrès</w:t>
            </w:r>
          </w:p>
          <w:p>
            <w:pPr/>
            <w:hyperlink r:id="rId18" w:history="1">
              <w:r>
                <w:rPr>
                  <w:color w:val="#410a8c"/>
                  <w:u w:val="single"/>
                </w:rPr>
                <w:t xml:space="preserve">hal-03653280v1</w:t>
              </w:r>
            </w:hyperlink>
          </w:p>
        </w:tc>
      </w:tr>
      <w:tr>
        <w:trPr/>
        <w:tc>
          <w:tcPr>
            <w:noWrap/>
          </w:tcPr>
          <w:p>
            <w:pPr>
              <w:spacing w:after="200"/>
            </w:pPr>
            <w:hyperlink r:id="rId19" w:history="1">
              <w:r>
                <w:rPr>
                  <w:color w:val="1e198e"/>
                  <w:b w:val="1"/>
                  <w:bCs w:val="1"/>
                  <w:u w:val="single"/>
                </w:rPr>
                <w:t xml:space="preserve">N'ayant heu aultre affaire ny querelle precedante avec ledict deffunct&amp;quot; : le crime et son récit dans les affaires de rémission aux XVIe et XVIIe siècles</w:t>
              </w:r>
            </w:hyperlink>
          </w:p>
          <w:p>
            <w:pPr/>
            <w:hyperlink r:id="rId10" w:history="1">
              <w:r>
                <w:rPr>
                  <w:color w:val="#410a8c"/>
                  <w:u w:val="single"/>
                </w:rPr>
                <w:t xml:space="preserve">Dylan Beccaria</w:t>
              </w:r>
            </w:hyperlink>
          </w:p>
          <w:p>
            <w:pPr/>
            <w:r>
              <w:rPr>
                <w:i w:val="1"/>
                <w:iCs w:val="1"/>
              </w:rPr>
              <w:t xml:space="preserve">Journée d’études « Le(s) conflit(s) en sciences humaines et sociales »</w:t>
            </w:r>
            <w:r>
              <w:rPr/>
              <w:t xml:space="preserve">, TELEMMe, May 2021, Aix-en-Provence, France</w:t>
            </w:r>
          </w:p>
          <w:p>
            <w:pPr/>
            <w:r>
              <w:rPr/>
              <w:t xml:space="preserve">Communication dans un congrès</w:t>
            </w:r>
          </w:p>
          <w:p>
            <w:pPr/>
            <w:hyperlink r:id="rId19" w:history="1">
              <w:r>
                <w:rPr>
                  <w:color w:val="#410a8c"/>
                  <w:u w:val="single"/>
                </w:rPr>
                <w:t xml:space="preserve">hal-03277263v1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Poster : Grâce et justice en Provence de la Ligue à la mort de Louis XIII</w:t>
              </w:r>
            </w:hyperlink>
          </w:p>
          <w:p>
            <w:pPr/>
            <w:hyperlink r:id="rId10" w:history="1">
              <w:r>
                <w:rPr>
                  <w:color w:val="#410a8c"/>
                  <w:u w:val="single"/>
                </w:rPr>
                <w:t xml:space="preserve">Dylan Beccaria</w:t>
              </w:r>
            </w:hyperlink>
          </w:p>
          <w:p>
            <w:pPr/>
            <w:r>
              <w:rPr>
                <w:i w:val="1"/>
                <w:iCs w:val="1"/>
              </w:rPr>
              <w:t xml:space="preserve">Journée scientifique de l'école doctorale 355</w:t>
            </w:r>
            <w:r>
              <w:rPr/>
              <w:t xml:space="preserve">, Jun 2021, Aix-en-Provence, France</w:t>
            </w:r>
          </w:p>
          <w:p>
            <w:pPr/>
            <w:r>
              <w:rPr/>
              <w:t xml:space="preserve">Poster de conférence</w:t>
            </w:r>
          </w:p>
          <w:p>
            <w:pPr/>
            <w:hyperlink r:id="rId20" w:history="1">
              <w:r>
                <w:rPr>
                  <w:color w:val="#410a8c"/>
                  <w:u w:val="single"/>
                </w:rPr>
                <w:t xml:space="preserve">hal-03272775v1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Convaincre le roi pour sauver sa vie : l'avocat et les principes d'exposition dans les suppliques pour la grâce royale (XVIe-XVIIe siècles)</w:t>
              </w:r>
            </w:hyperlink>
          </w:p>
          <w:p>
            <w:pPr/>
            <w:hyperlink r:id="rId10" w:history="1">
              <w:r>
                <w:rPr>
                  <w:color w:val="#410a8c"/>
                  <w:u w:val="single"/>
                </w:rPr>
                <w:t xml:space="preserve">Dylan Beccaria</w:t>
              </w:r>
            </w:hyperlink>
          </w:p>
          <w:p>
            <w:pPr/>
            <w:r>
              <w:rPr/>
              <w:t xml:space="preserve">Julien Broch; Eric Gasparini. </w:t>
            </w:r>
            <w:r>
              <w:rPr>
                <w:i w:val="1"/>
                <w:iCs w:val="1"/>
              </w:rPr>
              <w:t xml:space="preserve">Les avocats et les principes</w:t>
            </w:r>
            <w:r>
              <w:rPr/>
              <w:t xml:space="preserve">, </w:t>
            </w:r>
            <w:hyperlink r:id="rId22" w:history="1">
              <w:r>
                <w:rPr>
                  <w:color w:val="#410a8c"/>
                  <w:u w:val="single"/>
                </w:rPr>
                <w:t xml:space="preserve">Presses universitaires d'Aix-Marseille</w:t>
              </w:r>
            </w:hyperlink>
            <w:r>
              <w:rPr/>
              <w:t xml:space="preserve">, pp.80-93, 2022, 9782731412413</w:t>
            </w:r>
          </w:p>
          <w:p>
            <w:pPr/>
            <w:r>
              <w:rPr/>
              <w:t xml:space="preserve">Chapitre d'ouvrage</w:t>
            </w:r>
          </w:p>
          <w:p>
            <w:pPr/>
            <w:hyperlink r:id="rId21" w:history="1">
              <w:r>
                <w:rPr>
                  <w:color w:val="#410a8c"/>
                  <w:u w:val="single"/>
                </w:rPr>
                <w:t xml:space="preserve">halshs-03142560v1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CA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6B8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ylan-beccaria" TargetMode="External"/><Relationship Id="rId9" Type="http://schemas.openxmlformats.org/officeDocument/2006/relationships/hyperlink" Target="https://hal.science/hal-04617374v1" TargetMode="External"/><Relationship Id="rId10" Type="http://schemas.openxmlformats.org/officeDocument/2006/relationships/hyperlink" Target="https://hal.science/search/index/?q=*&amp;authFullName_s=Dylan Beccaria" TargetMode="External"/><Relationship Id="rId11" Type="http://schemas.openxmlformats.org/officeDocument/2006/relationships/hyperlink" Target="https://dx.doi.org/10.7202/1111992ar" TargetMode="External"/><Relationship Id="rId12" Type="http://schemas.openxmlformats.org/officeDocument/2006/relationships/hyperlink" Target="https://hal.science/hal-04812546v1" TargetMode="External"/><Relationship Id="rId13" Type="http://schemas.openxmlformats.org/officeDocument/2006/relationships/hyperlink" Target="https://hal.science/hal-04126408v1" TargetMode="External"/><Relationship Id="rId14" Type="http://schemas.openxmlformats.org/officeDocument/2006/relationships/hyperlink" Target="https://hal.science/hal-04270182v1" TargetMode="External"/><Relationship Id="rId15" Type="http://schemas.openxmlformats.org/officeDocument/2006/relationships/hyperlink" Target="https://hal.science/hal-03653296v1" TargetMode="External"/><Relationship Id="rId16" Type="http://schemas.openxmlformats.org/officeDocument/2006/relationships/hyperlink" Target="https://hal.science/search/index/?q=*&amp;authFullName_s=C&#233;cile Bournat-Qu&#233;rat" TargetMode="External"/><Relationship Id="rId17" Type="http://schemas.openxmlformats.org/officeDocument/2006/relationships/hyperlink" Target="https://hal.science/hal-03614059v1" TargetMode="External"/><Relationship Id="rId18" Type="http://schemas.openxmlformats.org/officeDocument/2006/relationships/hyperlink" Target="https://hal.science/hal-03653280v1" TargetMode="External"/><Relationship Id="rId19" Type="http://schemas.openxmlformats.org/officeDocument/2006/relationships/hyperlink" Target="https://amu.hal.science/hal-03277263v1" TargetMode="External"/><Relationship Id="rId20" Type="http://schemas.openxmlformats.org/officeDocument/2006/relationships/hyperlink" Target="https://hal.science/hal-03272775v1" TargetMode="External"/><Relationship Id="rId21" Type="http://schemas.openxmlformats.org/officeDocument/2006/relationships/hyperlink" Target="https://shs.hal.science/halshs-03142560v1" TargetMode="External"/><Relationship Id="rId22" Type="http://schemas.openxmlformats.org/officeDocument/2006/relationships/hyperlink" Target="https://presses-universitaires.univ-amu.fr/"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Dylan Beccaria</dc:title>
  <dc:description>CV</dc:description>
  <dc:subject/>
  <cp:keywords/>
  <cp:category/>
  <cp:lastModifiedBy/>
  <dcterms:created xsi:type="dcterms:W3CDTF">2026-04-10T19:50:54+02:00</dcterms:created>
  <dcterms:modified xsi:type="dcterms:W3CDTF">2026-04-10T19:50:54+02:00</dcterms:modified>
</cp:coreProperties>
</file>

<file path=docProps/custom.xml><?xml version="1.0" encoding="utf-8"?>
<Properties xmlns="http://schemas.openxmlformats.org/officeDocument/2006/custom-properties" xmlns:vt="http://schemas.openxmlformats.org/officeDocument/2006/docPropsVTypes"/>
</file>