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HARTMANN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canonique de l’étude et de l’exercice de la médecine et de la chirurgie par les clercs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2012, 60 (1-2), pp.171-219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complémentaire d'interdiction du territoire est imprescriptible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07 et 08,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halshs-02224955v1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 criminalis et la folie dans l’œuvre médico-légale de Fodéré. Un syncrétisme criminologique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Loraine Chappuis; Frédéric Chauvaud; Marc Ortolani; Michel Porret. </w:t>
            </w:r>
            <w:r>
              <w:rPr>
                <w:i w:val="1"/>
                <w:iCs w:val="1"/>
              </w:rPr>
              <w:t xml:space="preserve">Faire parler les corps. François-Emmanuel Fodéré, à la genèse de la médecine légale moderne</w:t>
            </w:r>
            <w:r>
              <w:rPr/>
              <w:t xml:space="preserve">, Presses universitaires de Rennes, pp.111-123.,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Salomon, substitution et supposition de part en droit canonique post-classique et moderne : la fragilité inattendue de l’adage mater semper certa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Allisson Fiorentino; Karen Fiorentino. </w:t>
            </w:r>
            <w:r>
              <w:rPr>
                <w:i w:val="1"/>
                <w:iCs w:val="1"/>
              </w:rPr>
              <w:t xml:space="preserve">Mater semper certa est ? Passé, présent, avenir d'un adage</w:t>
            </w:r>
            <w:r>
              <w:rPr/>
              <w:t xml:space="preserve">, Bruylant, pp.105-132, 2018, 978-2802760399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Jugement de Salomon par les canonistes : la conscientia iudicis, palliatif des insuffisances de l’ordo iudiciarius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Hartmann</w:t>
              </w:r>
            </w:hyperlink>
          </w:p>
          <w:p>
            <w:pPr/>
            <w:r>
              <w:rPr/>
              <w:t xml:space="preserve">Benoît Garnot; Bruno Lemesle. </w:t>
            </w:r>
            <w:r>
              <w:rPr>
                <w:i w:val="1"/>
                <w:iCs w:val="1"/>
              </w:rPr>
              <w:t xml:space="preserve">La justice entre droit et conscience du XIIIe au XVIIIe siècle</w:t>
            </w:r>
            <w:r>
              <w:rPr/>
              <w:t xml:space="preserve">, EUD, pp.25-40., 2014, 978-2364411050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hal-03016758v1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6789v1" TargetMode="External"/><Relationship Id="rId8" Type="http://schemas.openxmlformats.org/officeDocument/2006/relationships/hyperlink" Target="https://hal.science/search/index/?q=*&amp;authFullName_s=Elodie Hartmann" TargetMode="External"/><Relationship Id="rId9" Type="http://schemas.openxmlformats.org/officeDocument/2006/relationships/hyperlink" Target="https://shs.hal.science/halshs-02224955v1" TargetMode="External"/><Relationship Id="rId10" Type="http://schemas.openxmlformats.org/officeDocument/2006/relationships/hyperlink" Target="https://hal.science/hal-03457759v1" TargetMode="External"/><Relationship Id="rId11" Type="http://schemas.openxmlformats.org/officeDocument/2006/relationships/hyperlink" Target="https://hal.science/hal-03016747v1" TargetMode="External"/><Relationship Id="rId12" Type="http://schemas.openxmlformats.org/officeDocument/2006/relationships/hyperlink" Target="https://hal.science/hal-0301675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HARTMANN</dc:title>
  <dc:description>CV</dc:description>
  <dc:subject/>
  <cp:keywords/>
  <cp:category/>
  <cp:lastModifiedBy/>
  <dcterms:created xsi:type="dcterms:W3CDTF">2026-03-04T08:31:06+01:00</dcterms:created>
  <dcterms:modified xsi:type="dcterms:W3CDTF">2026-03-04T08:31:06+01:00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