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Soler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hors-classe habilité à diriger des recherches</w:t>
      </w:r>
      <w:r>
        <w:rPr/>
        <w:t xml:space="preserve"> (histoire romaine)</w:t>
      </w:r>
    </w:p>
    <w:p>
      <w:pPr/>
      <w:hyperlink r:id="rId7" w:history="1">
        <w:r>
          <w:rPr>
            <w:color w:val="#410a8c"/>
            <w:u w:val="single"/>
          </w:rPr>
          <w:t xml:space="preserve">emmanuel.soler@univ-rouen.fr</w:t>
        </w:r>
      </w:hyperlink>
    </w:p>
    <w:p>
      <w:pPr/>
      <w:r>
        <w:rPr/>
        <w:t xml:space="preserve">Agrégé d’Histoire. – Docteur en histoire ancienne, habilité par l’université de Paris IV (Histoire du christianisme ancien et civilisations de l’Antiquité tardive). – Thèse de doctorat : </w:t>
      </w:r>
      <w:r>
        <w:rPr>
          <w:i w:val="1"/>
          <w:iCs w:val="1"/>
        </w:rPr>
        <w:t xml:space="preserve">Le sacré et le salut à Antioche au IVe siècle apr. J.-C. : pratiques festives et comportements religieux dans le processus de christianisation de la cité</w:t>
      </w:r>
      <w:r>
        <w:rPr/>
        <w:t xml:space="preserve">, université de Rouen. – Habilitation : </w:t>
      </w:r>
      <w:r>
        <w:rPr>
          <w:i w:val="1"/>
          <w:iCs w:val="1"/>
        </w:rPr>
        <w:t xml:space="preserve">Aspects de l’histoire culturelle et religieuse de l’Empire romain, dans l’Antiquité tardive</w:t>
      </w:r>
      <w:r>
        <w:rPr/>
        <w:t xml:space="preserve"> (ouvrage inédit : les hétairies « pythagoriciennes-néoplatoniciennes » et le mouvement théurgique dans l’Empire romain, au IVe siècle apr. J.-C.)</w:t>
      </w:r>
    </w:p>
    <w:p>
      <w:pPr/>
      <w:r>
        <w:rPr>
          <w:b w:val="1"/>
          <w:bCs w:val="1"/>
        </w:rPr>
        <w:t xml:space="preserve">Responsabilités exercées</w:t>
      </w:r>
    </w:p>
    <w:p>
      <w:pPr/>
      <w:r>
        <w:rPr/>
        <w:t xml:space="preserve">2009-2011 : Vice-Doyen (chargé de la pédagogie) de l’UFR de Lettres-Sciences humaines.</w:t>
      </w:r>
    </w:p>
    <w:p>
      <w:pPr/>
      <w:r>
        <w:rPr/>
        <w:t xml:space="preserve">2010-2012 : Responsable de la spécialité « Métiers de l’enseignement » du master Histoire, patrimoine, arts, documentation de l’université de Rouen.</w:t>
      </w:r>
    </w:p>
    <w:p>
      <w:pPr/>
      <w:r>
        <w:rPr>
          <w:b w:val="1"/>
          <w:bCs w:val="1"/>
        </w:rPr>
        <w:t xml:space="preserve">Enseignements</w:t>
      </w:r>
      <w:r>
        <w:rPr>
          <w:b w:val="1"/>
          <w:bCs w:val="1"/>
        </w:rPr>
        <w:t xml:space="preserve">2013-2014</w:t>
      </w:r>
    </w:p>
    <w:p>
      <w:pPr/>
      <w:r>
        <w:rPr/>
        <w:t xml:space="preserve">Cours et TD d’Histoire romaine en licence– </w:t>
      </w:r>
      <w:r>
        <w:rPr>
          <w:b w:val="1"/>
          <w:bCs w:val="1"/>
        </w:rPr>
        <w:t xml:space="preserve">L1.</w:t>
      </w:r>
      <w:r>
        <w:rPr/>
        <w:t xml:space="preserve"> Les institutions et l’histoire de la République romaine, du début de la guerre hannibalique à la mort de Tiberius Gracchus (218-133 av. J.-C.) </w:t>
      </w:r>
      <w:r>
        <w:rPr>
          <w:b w:val="1"/>
          <w:bCs w:val="1"/>
        </w:rPr>
        <w:t xml:space="preserve">–L2.</w:t>
      </w:r>
      <w:r>
        <w:rPr/>
        <w:t xml:space="preserve"> Cultes et religions dans l’Empire romain, du Ier au Ve siècle apr. J.-C.- </w:t>
      </w:r>
      <w:r>
        <w:rPr>
          <w:b w:val="1"/>
          <w:bCs w:val="1"/>
        </w:rPr>
        <w:t xml:space="preserve">L3.</w:t>
      </w:r>
      <w:r>
        <w:rPr/>
        <w:t xml:space="preserve"> L’Empire romain, de la mort de Commode à la mort de Constantin (192-337 apr. J.‑C.) ainsi que Constantinople et l’Empire romain d’Orient, de la fondation de Constantinople à la mort de l’empereur Justinien (330-565).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>
          <w:b w:val="1"/>
          <w:bCs w:val="1"/>
        </w:rPr>
        <w:t xml:space="preserve">1.</w:t>
      </w:r>
      <w:r>
        <w:rPr/>
        <w:t xml:space="preserve"> La christianisation des métropoles dans l’Antiquité tardive (Antioche). – </w:t>
      </w:r>
      <w:r>
        <w:rPr>
          <w:b w:val="1"/>
          <w:bCs w:val="1"/>
        </w:rPr>
        <w:t xml:space="preserve">2.</w:t>
      </w:r>
      <w:r>
        <w:rPr/>
        <w:t xml:space="preserve"> Étude des relations entre l’Église et l’État dans l’Antiquité tardive. – </w:t>
      </w:r>
      <w:r>
        <w:rPr>
          <w:b w:val="1"/>
          <w:bCs w:val="1"/>
        </w:rPr>
        <w:t xml:space="preserve">3.</w:t>
      </w:r>
      <w:r>
        <w:rPr/>
        <w:t xml:space="preserve"> Les jeux et les spectacles dans l’Antiquité tardive. – </w:t>
      </w:r>
      <w:r>
        <w:rPr>
          <w:b w:val="1"/>
          <w:bCs w:val="1"/>
        </w:rPr>
        <w:t xml:space="preserve">4.</w:t>
      </w:r>
      <w:r>
        <w:rPr/>
        <w:t xml:space="preserve"> Les idées et les pratiques philosophiques et religieuses dans l’Antiquité tardive. – </w:t>
      </w:r>
      <w:r>
        <w:rPr>
          <w:b w:val="1"/>
          <w:bCs w:val="1"/>
        </w:rPr>
        <w:t xml:space="preserve">5.</w:t>
      </w:r>
      <w:r>
        <w:rPr/>
        <w:t xml:space="preserve"> Jean Chrysostome et la prédication chrétienne. – </w:t>
      </w:r>
      <w:r>
        <w:rPr>
          <w:b w:val="1"/>
          <w:bCs w:val="1"/>
        </w:rPr>
        <w:t xml:space="preserve">6.</w:t>
      </w:r>
      <w:r>
        <w:rPr/>
        <w:t xml:space="preserve"> Libanios et la sophistique, au IVe siècle apr. J.-C. – </w:t>
      </w:r>
      <w:r>
        <w:rPr>
          <w:b w:val="1"/>
          <w:bCs w:val="1"/>
        </w:rPr>
        <w:t xml:space="preserve">7.</w:t>
      </w:r>
      <w:r>
        <w:rPr/>
        <w:t xml:space="preserve"> Julien l’Apostat. – </w:t>
      </w:r>
      <w:r>
        <w:rPr>
          <w:b w:val="1"/>
          <w:bCs w:val="1"/>
        </w:rPr>
        <w:t xml:space="preserve">8.</w:t>
      </w:r>
      <w:r>
        <w:rPr/>
        <w:t xml:space="preserve"> La théurgie.</w:t>
      </w:r>
    </w:p>
    <w:p>
      <w:pPr/>
      <w:r>
        <w:rPr>
          <w:b w:val="1"/>
          <w:bCs w:val="1"/>
        </w:rPr>
        <w:t xml:space="preserve">Prix et distinctions</w:t>
      </w:r>
    </w:p>
    <w:p>
      <w:pPr/>
      <w:r>
        <w:rPr/>
        <w:t xml:space="preserve">2007. Prix Schlumberger de l’Académie des Inscriptions et Belles-Lettres (Institut de France) pour l’ouvrage : </w:t>
      </w:r>
      <w:r>
        <w:rPr>
          <w:i w:val="1"/>
          <w:iCs w:val="1"/>
        </w:rPr>
        <w:t xml:space="preserve">Le sacré et le salut à Antioche au IVe siècle apr. J.-C. Pratiques festives et comportements religieux dans le processus de christianisation de la cité</w:t>
      </w:r>
      <w:r>
        <w:rPr/>
        <w:t xml:space="preserve">, Beyrouth, Institut Français du Proche-Orient (Beyrouth-Damas-Amman) « </w:t>
      </w:r>
      <w:r>
        <w:rPr>
          <w:i w:val="1"/>
          <w:iCs w:val="1"/>
        </w:rPr>
        <w:t xml:space="preserve">Bibliothèque Archéologique et Historique</w:t>
      </w:r>
      <w:r>
        <w:rPr/>
        <w:t xml:space="preserve"> n° 176 », 2006.</w:t>
      </w:r>
    </w:p>
    <w:p>
      <w:pPr/>
      <w:r>
        <w:rPr/>
        <w:t xml:space="preserve">2007. Prix Zographos de l’Association pour l’encouragement des études grecques en France, pour le même ouvrage.</w:t>
      </w:r>
    </w:p>
    <w:p>
      <w:pPr/>
      <w:r>
        <w:rPr/>
        <w:t xml:space="preserve">2011-2015. Prime d’excellence scientifique</w:t>
      </w:r>
    </w:p>
    <w:p>
      <w:pPr/>
      <w:r>
        <w:rPr>
          <w:b w:val="1"/>
          <w:bCs w:val="1"/>
        </w:rPr>
        <w:t xml:space="preserve">Organisation de séminaires, tables rondes, colloques</w:t>
      </w:r>
    </w:p>
    <w:p>
      <w:pPr/>
      <w:r>
        <w:rPr>
          <w:i w:val="1"/>
          <w:iCs w:val="1"/>
        </w:rPr>
        <w:t xml:space="preserve">Les jeux et les spectacles : une composante de l’identité culturelle romaine dans l’Empire romain tardif et les royaumes barbares</w:t>
      </w:r>
      <w:r>
        <w:rPr/>
        <w:t xml:space="preserve">, journée d’étude, mai 2004, Université de Rouen.</w:t>
      </w:r>
    </w:p>
    <w:p>
      <w:pPr/>
      <w:r>
        <w:rPr>
          <w:i w:val="1"/>
          <w:iCs w:val="1"/>
        </w:rPr>
        <w:t xml:space="preserve">Les intellectuels dans la « Cité ». Identités, sociabilités et fonctions intellectuelles, de l’Antiquité à nos jours</w:t>
      </w:r>
      <w:r>
        <w:rPr/>
        <w:t xml:space="preserve">, Colloque international de Rouen, 15-17 mai 2006 (Le CNRS, le Centre Lenain de Tillemont et l’UMR 8167 ont soutenu ce colloque).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chrétiennes contre les synagogues dans l’Empire romain, pendant le conflit entre Théodose et l’usurpateur Maxime (386-388 apr.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2011, 4, pp.89-98.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⟨10.1484/J.SEC.1.102507⟩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hal-02375709v1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et les spectacles dans l’Empire romain tardif et dans les royaumes 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Thelamon</w:t>
              </w:r>
            </w:hyperlink>
          </w:p>
          <w:p>
            <w:pPr/>
            <w:r>
              <w:rPr/>
              <w:t xml:space="preserve">Publications des universités de Rouen et du Havre, 2008, 978-2-87775-453-8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l’Etat impérial dans l’organisation et le financement des spectacles, d’après le témoignage du Code Théodosien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Hugoniot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Soler</w:t>
              </w:r>
            </w:hyperlink>
          </w:p>
          <w:p>
            <w:pPr/>
            <w:r>
              <w:rPr/>
              <w:t xml:space="preserve">S. Crogiez-Pétrequin; P. Jaillette. </w:t>
            </w:r>
            <w:r>
              <w:rPr>
                <w:i w:val="1"/>
                <w:iCs w:val="1"/>
              </w:rPr>
              <w:t xml:space="preserve">Société, administration, économie dans le Code Théodosien</w:t>
            </w:r>
            <w:r>
              <w:rPr/>
              <w:t xml:space="preserve">, PUS, p. 339-365,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halshs-03554260v1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mmanuel.soler@univ-rouen.fr" TargetMode="External"/><Relationship Id="rId8" Type="http://schemas.openxmlformats.org/officeDocument/2006/relationships/hyperlink" Target="https://normandie-univ.hal.science/hal-02375709v1" TargetMode="External"/><Relationship Id="rId9" Type="http://schemas.openxmlformats.org/officeDocument/2006/relationships/hyperlink" Target="https://hal.science/search/index/?q=*&amp;authFullName_s=Emmanuel Soler" TargetMode="External"/><Relationship Id="rId10" Type="http://schemas.openxmlformats.org/officeDocument/2006/relationships/hyperlink" Target="https://dx.doi.org/10.1484/J.SEC.1.102507" TargetMode="External"/><Relationship Id="rId11" Type="http://schemas.openxmlformats.org/officeDocument/2006/relationships/hyperlink" Target="https://api.istex.fr/document/EC4F734B0BD0AEBFA21E2311B11C8A3FE37CA3CB/fulltext/pdf?sid=hal" TargetMode="External"/><Relationship Id="rId12" Type="http://schemas.openxmlformats.org/officeDocument/2006/relationships/hyperlink" Target="https://normandie-univ.hal.science/hal-02375672v1" TargetMode="External"/><Relationship Id="rId13" Type="http://schemas.openxmlformats.org/officeDocument/2006/relationships/hyperlink" Target="https://hal.science/search/index/?q=*&amp;authFullName_s=Fran&#231;oise Thelamon" TargetMode="External"/><Relationship Id="rId14" Type="http://schemas.openxmlformats.org/officeDocument/2006/relationships/hyperlink" Target="https://shs.hal.science/halshs-03554260v1" TargetMode="External"/><Relationship Id="rId15" Type="http://schemas.openxmlformats.org/officeDocument/2006/relationships/hyperlink" Target="https://hal.science/search/index/?q=*&amp;authFullName_s=Christophe Hugoniot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Soler</dc:title>
  <dc:description>CV</dc:description>
  <dc:subject/>
  <cp:keywords/>
  <cp:category/>
  <cp:lastModifiedBy/>
  <dcterms:created xsi:type="dcterms:W3CDTF">2026-04-05T18:50:48+02:00</dcterms:created>
  <dcterms:modified xsi:type="dcterms:W3CDTF">2026-04-05T18:50:48+02:00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