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Falilou DIOP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international privé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provisoire : Incompétence de la Cour suprême nationale même en application de l'article 16 du Traité OHADA. Note sous CCJA, 27 avril 2024, n° 100/2023 et CCJA, 6 avril 2023, n°072/2023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la décision attaquée à la partie adverse n'est pas une condition de recevabilité du pourvoi devant la CCJA. Note sous CCJA, 2ème ch., n°152/2023, La société Canalbox SA c/ État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clause d'arbitrage à l'action en opposition à la dissolution de la société cocontractante. Note sous CCJA, 2ème ch., n°152/2023, 29 juin 2023, La société Canalbox SA c/ État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du délai imparti à la juridiction nationale par l'article 27 de l'Acte uniforme relatif au droit de l'arbitrage. Note sous CCJA, 1ère ch., 13 juillet 2023, n°71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de la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n°12,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interprétation du dispositif d'un arrêt de la CCJA annulant une sentence arbitrale partielle. Comm. CCJA, ass. plén., 26 oct. 2023, n°174/2023, Société béninoise d'énergie électrique c/ État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des actes uniformes à une cession d'une société d'assurances autorisée par un organe de la CIMA. Note sous CCJA, 27 avril 2023, n°101/2023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Contrefaçon : négation de l’immunité de juridiction à une télévision publique étrangère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an de droit international privé de la propriété industrielle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Rupture définitive entre la titularité des brevets et la règle de compétence exclusive », Commentaire de l’arrêt CJUE, 8 septembre 2022, aff. C-399/21, IRnova AB c/ FLIR Systems, 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économique et actions privées : l’extension aux filiales de la responsabilité consécutive au comportement anticoncurrentiel d’une société mère. Commentaire de CJUE, 6 octobre 2021, Sumal c/ Mercedes Benz Trucks España, aff. C-882/19, ECLI:EU:C:2021:800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2022, 2022/112 (n° 4187),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relatifs à la propriété intellectuelle dans le projet de Code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Les perspectives d'extension de l'OHADA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Charlemagne Dagbedji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F. Diop (CREDIP-EDIEC) et Ch. Dagbedji (CDE-ELJ), Oct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table ronde - Diffuser les résultats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Diffuser, éditer, publier. Entre volonté politique et réalité juridique</w:t>
            </w:r>
            <w:r>
              <w:rPr/>
              <w:t xml:space="preserve">, C. Nourissat (EDIEC),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cryptomonnaies et des NFTs dans le notariat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déjeuners du notariat</w:t>
            </w:r>
            <w:r>
              <w:rPr/>
              <w:t xml:space="preserve">, Chambre des notaires du Rhône,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sur le thème de la &amp;quot;Laïcité, Diversités culturelles et Identités religieuses face au défi du vivre ensemble en France in. Professeur Souleymane Bachir Diagne (Professeur à l’Université de Columbia – Etats-Unis)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l’Institut Français de Civilisation Musulmane (IFCM de Lyon) avec la participation de la Fondation Majalis, la Timbuktu Institute - African Center For Peace Studies</w:t>
            </w:r>
            <w:r>
              <w:rPr/>
              <w:t xml:space="preserve">, Mar 2023, IFCM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partie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jurisprudence francophone de l'Association des Hautes juridictions de cassation ayant en partage l'usage du français (AHJUCAF)</w:t>
            </w:r>
            <w:r>
              <w:rPr/>
              <w:t xml:space="preserve">, Cour de cassation,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sénégalais de la famille à l’épreuve de la réception des situations constituées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cinquante ans du Code sénégalais de la famille</w:t>
            </w:r>
            <w:r>
              <w:rPr/>
              <w:t xml:space="preserve">, Université Gaston Berger, Jun 2023, Saint-Louis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Khidma (Service pour l'humanité) : sens et portée dans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africaines à Marseille et transmissions religieuses au sein de l'islam soufi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 la partie propriété intellectuelle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jurisprudence francophone de l’Association des Hautes juridictions de cassation ayant en partage l’usage du français (AHJUCAF)</w:t>
            </w:r>
            <w:r>
              <w:rPr/>
              <w:t xml:space="preserve">, Cour de Cassation,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L’incertain principe de territorialité des droits de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l’Association des jeunes universitaires spécialistes de la propriété intellectuelle, Les incertitudes du droit de la propriété intellectuelle quels risques, quelles opportunités ?</w:t>
            </w:r>
            <w:r>
              <w:rPr/>
              <w:t xml:space="preserve">, Association des JUSPI, CEIPI et CERDACC,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table ronde &amp;quot;La contribution des normes extérieures à l'application du droit OHADA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trente années d'application du droit uniforme africain des affaires (OHADA)</w:t>
            </w:r>
            <w:r>
              <w:rPr/>
              <w:t xml:space="preserve">, G. Ngoumtsa Anou et L.-D. Muka Tshibende,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du droit de la propriété intellectuelle et conflits de lois dans l'OAPI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Mare &amp; Martin; Bibliothèques des thèses</w:t>
              </w:r>
            </w:hyperlink>
            <w:r>
              <w:rPr/>
              <w:t xml:space="preserve">, 624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hal-04828520v1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856v1" TargetMode="External"/><Relationship Id="rId8" Type="http://schemas.openxmlformats.org/officeDocument/2006/relationships/hyperlink" Target="https://hal.science/search/index/?q=*&amp;authFullName_s=Ludovic Pailler" TargetMode="External"/><Relationship Id="rId9" Type="http://schemas.openxmlformats.org/officeDocument/2006/relationships/hyperlink" Target="https://hal.science/search/index/?q=*&amp;authFullName_s=Falilou Diop" TargetMode="External"/><Relationship Id="rId10" Type="http://schemas.openxmlformats.org/officeDocument/2006/relationships/hyperlink" Target="https://hal.science/search/index/?q=*&amp;authFullName_s=Yves El Hage" TargetMode="External"/><Relationship Id="rId11" Type="http://schemas.openxmlformats.org/officeDocument/2006/relationships/hyperlink" Target="https://hal.science/hal-04828695v1" TargetMode="External"/><Relationship Id="rId12" Type="http://schemas.openxmlformats.org/officeDocument/2006/relationships/hyperlink" Target="https://hal.science/hal-04828707v1" TargetMode="External"/><Relationship Id="rId13" Type="http://schemas.openxmlformats.org/officeDocument/2006/relationships/hyperlink" Target="https://hal.science/hal-04828729v1" TargetMode="External"/><Relationship Id="rId14" Type="http://schemas.openxmlformats.org/officeDocument/2006/relationships/hyperlink" Target="https://hal.science/hal-04828660v1" TargetMode="External"/><Relationship Id="rId15" Type="http://schemas.openxmlformats.org/officeDocument/2006/relationships/hyperlink" Target="https://hal.science/hal-04849012v1" TargetMode="External"/><Relationship Id="rId16" Type="http://schemas.openxmlformats.org/officeDocument/2006/relationships/hyperlink" Target="https://hal.science/hal-04828741v1" TargetMode="External"/><Relationship Id="rId17" Type="http://schemas.openxmlformats.org/officeDocument/2006/relationships/hyperlink" Target="https://hal.science/hal-04828674v1" TargetMode="External"/><Relationship Id="rId18" Type="http://schemas.openxmlformats.org/officeDocument/2006/relationships/hyperlink" Target="https://univ-lyon3.hal.science/hal-04402217v1" TargetMode="External"/><Relationship Id="rId19" Type="http://schemas.openxmlformats.org/officeDocument/2006/relationships/hyperlink" Target="https://univ-lyon3.hal.science/hal-04402250v1" TargetMode="External"/><Relationship Id="rId20" Type="http://schemas.openxmlformats.org/officeDocument/2006/relationships/hyperlink" Target="https://univ-lyon3.hal.science/hal-04031661v1" TargetMode="External"/><Relationship Id="rId21" Type="http://schemas.openxmlformats.org/officeDocument/2006/relationships/hyperlink" Target="https://univ-lyon3.hal.science/hal-03552094v1" TargetMode="External"/><Relationship Id="rId22" Type="http://schemas.openxmlformats.org/officeDocument/2006/relationships/hyperlink" Target="https://univ-lyon3.hal.science/hal-03837759v1" TargetMode="External"/><Relationship Id="rId23" Type="http://schemas.openxmlformats.org/officeDocument/2006/relationships/hyperlink" Target="https://hal.science/hal-04848049v1" TargetMode="External"/><Relationship Id="rId24" Type="http://schemas.openxmlformats.org/officeDocument/2006/relationships/hyperlink" Target="https://hal.science/search/index/?q=*&amp;authFullName_s=Charlemagne Dagbedji" TargetMode="External"/><Relationship Id="rId25" Type="http://schemas.openxmlformats.org/officeDocument/2006/relationships/hyperlink" Target="https://hal.science/hal-04846752v1" TargetMode="External"/><Relationship Id="rId26" Type="http://schemas.openxmlformats.org/officeDocument/2006/relationships/hyperlink" Target="https://univ-lyon3.hal.science/hal-04031709v1" TargetMode="External"/><Relationship Id="rId27" Type="http://schemas.openxmlformats.org/officeDocument/2006/relationships/hyperlink" Target="https://univ-lyon3.hal.science/hal-04031686v1" TargetMode="External"/><Relationship Id="rId28" Type="http://schemas.openxmlformats.org/officeDocument/2006/relationships/hyperlink" Target="https://hal.science/hal-04816895v1" TargetMode="External"/><Relationship Id="rId29" Type="http://schemas.openxmlformats.org/officeDocument/2006/relationships/hyperlink" Target="https://univ-lyon3.hal.science/hal-04138481v1" TargetMode="External"/><Relationship Id="rId30" Type="http://schemas.openxmlformats.org/officeDocument/2006/relationships/hyperlink" Target="https://univ-lyon3.hal.science/hal-04138479v1" TargetMode="External"/><Relationship Id="rId31" Type="http://schemas.openxmlformats.org/officeDocument/2006/relationships/hyperlink" Target="https://hal.science/hal-04408952v1" TargetMode="External"/><Relationship Id="rId32" Type="http://schemas.openxmlformats.org/officeDocument/2006/relationships/hyperlink" Target="https://univ-lyon3.hal.science/hal-04031696v1" TargetMode="External"/><Relationship Id="rId33" Type="http://schemas.openxmlformats.org/officeDocument/2006/relationships/hyperlink" Target="https://hal.science/hal-04816884v1" TargetMode="External"/><Relationship Id="rId34" Type="http://schemas.openxmlformats.org/officeDocument/2006/relationships/hyperlink" Target="https://hal.science/hal-04828520v1" TargetMode="External"/><Relationship Id="rId35" Type="http://schemas.openxmlformats.org/officeDocument/2006/relationships/hyperlink" Target="https://www.mareetmartin.com/livre/uniformisation-du-droit-de-la-propriete-intellectuelle-et-conflits-de-lois-dans-loap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Falilou DIOP</dc:title>
  <dc:description>CV</dc:description>
  <dc:subject/>
  <cp:keywords/>
  <cp:category/>
  <cp:lastModifiedBy/>
  <dcterms:created xsi:type="dcterms:W3CDTF">2026-05-31T01:50:23+02:00</dcterms:created>
  <dcterms:modified xsi:type="dcterms:W3CDTF">2026-05-31T01:50:23+02:00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