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BOURBON </w:t>
      </w:r>
      <w:r>
        <w:rPr>
          <w:color w:val="641e6e"/>
        </w:rPr>
        <w:t xml:space="preserve">Maîtresse de conférences à l'INSPE de Paris /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choosing baby’s gender in the hippocratic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nei Secoli. Arte e scienza </w:t>
            </w:r>
            <w:r>
              <w:rPr/>
              <w:t xml:space="preserve">, 2017, 29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hal-04830172v1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0172v1" TargetMode="External"/><Relationship Id="rId8" Type="http://schemas.openxmlformats.org/officeDocument/2006/relationships/hyperlink" Target="https://hal.science/search/index/?q=*&amp;authFullName_s=Florence Bourbo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BOURBON</dc:title>
  <dc:description>CV</dc:description>
  <dc:subject/>
  <cp:keywords/>
  <cp:category/>
  <cp:lastModifiedBy/>
  <dcterms:created xsi:type="dcterms:W3CDTF">2026-05-20T15:54:34+02:00</dcterms:created>
  <dcterms:modified xsi:type="dcterms:W3CDTF">2026-05-20T15:54:34+02:00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