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Lerouxel </w:t>
      </w:r>
      <w:r>
        <w:rPr>
          <w:color w:val="641e6e"/>
        </w:rPr>
        <w:t xml:space="preserve">Professeur d'histoire romaine (Sorbonne Université)</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Conserver les richesses en Italie romaine (Ier s. av. J.-C.–IIIe s. ap. J.-C.)</w:t>
              </w:r>
            </w:hyperlink>
          </w:p>
          <w:p>
            <w:pPr/>
            <w:hyperlink r:id="rId8" w:history="1">
              <w:r>
                <w:rPr>
                  <w:color w:val="#410a8c"/>
                  <w:u w:val="single"/>
                </w:rPr>
                <w:t xml:space="preserve">François Lerouxel</w:t>
              </w:r>
            </w:hyperlink>
          </w:p>
          <w:p>
            <w:pPr/>
            <w:r>
              <w:rPr>
                <w:i w:val="1"/>
                <w:iCs w:val="1"/>
              </w:rPr>
              <w:t xml:space="preserve">Ktèma : Civilisations de l'Orient, de la Grèce et de Rome antiques</w:t>
            </w:r>
            <w:r>
              <w:rPr/>
              <w:t xml:space="preserve">, 2025, Conserver les richesses dans l’Antiquité : quelques études de cas de Babylone à Rome, 50, pp.103-118</w:t>
            </w:r>
          </w:p>
          <w:p>
            <w:pPr/>
            <w:r>
              <w:rPr/>
              <w:t xml:space="preserve">Article dans une revue</w:t>
            </w:r>
          </w:p>
          <w:p>
            <w:pPr/>
            <w:hyperlink r:id="rId7" w:history="1">
              <w:r>
                <w:rPr>
                  <w:color w:val="#410a8c"/>
                  <w:u w:val="single"/>
                </w:rPr>
                <w:t xml:space="preserve">hal-05458532v1</w:t>
              </w:r>
            </w:hyperlink>
          </w:p>
        </w:tc>
      </w:tr>
      <w:tr>
        <w:trPr/>
        <w:tc>
          <w:tcPr>
            <w:noWrap/>
          </w:tcPr>
          <w:p>
            <w:pPr>
              <w:spacing w:after="200"/>
            </w:pPr>
            <w:hyperlink r:id="rId9" w:history="1">
              <w:r>
                <w:rPr>
                  <w:color w:val="1e198e"/>
                  <w:b w:val="1"/>
                  <w:bCs w:val="1"/>
                  <w:u w:val="single"/>
                </w:rPr>
                <w:t xml:space="preserve">S. Roselaar, Italy’s Economic Revolution. Integration and Economy in Republican Italy, 2019, dans REA 124-1, 2022.</w:t>
              </w:r>
            </w:hyperlink>
          </w:p>
          <w:p>
            <w:pPr/>
            <w:hyperlink r:id="rId8" w:history="1">
              <w:r>
                <w:rPr>
                  <w:color w:val="#410a8c"/>
                  <w:u w:val="single"/>
                </w:rPr>
                <w:t xml:space="preserve">François Lerouxel</w:t>
              </w:r>
            </w:hyperlink>
          </w:p>
          <w:p>
            <w:pPr/>
            <w:r>
              <w:rPr>
                <w:i w:val="1"/>
                <w:iCs w:val="1"/>
              </w:rPr>
              <w:t xml:space="preserve">Revue des études anciennes</w:t>
            </w:r>
            <w:r>
              <w:rPr/>
              <w:t xml:space="preserve">, 2022</w:t>
            </w:r>
          </w:p>
          <w:p>
            <w:pPr/>
            <w:r>
              <w:rPr/>
              <w:t xml:space="preserve">Article dans une revue</w:t>
            </w:r>
          </w:p>
          <w:p>
            <w:pPr/>
            <w:hyperlink r:id="rId9" w:history="1">
              <w:r>
                <w:rPr>
                  <w:color w:val="#410a8c"/>
                  <w:u w:val="single"/>
                </w:rPr>
                <w:t xml:space="preserve">halshs-04051676v1</w:t>
              </w:r>
            </w:hyperlink>
          </w:p>
        </w:tc>
      </w:tr>
      <w:tr>
        <w:trPr/>
        <w:tc>
          <w:tcPr>
            <w:noWrap/>
          </w:tcPr>
          <w:p>
            <w:pPr>
              <w:spacing w:after="200"/>
            </w:pPr>
            <w:hyperlink r:id="rId10" w:history="1">
              <w:r>
                <w:rPr>
                  <w:color w:val="1e198e"/>
                  <w:b w:val="1"/>
                  <w:bCs w:val="1"/>
                  <w:u w:val="single"/>
                </w:rPr>
                <w:t xml:space="preserve">« Weighed bronze bullion and the invention of debt in archaic Rome (VI-IV c BC) », Études celtiques, 46, 2020, p. 177-184</w:t>
              </w:r>
            </w:hyperlink>
          </w:p>
          <w:p>
            <w:pPr/>
            <w:hyperlink r:id="rId8" w:history="1">
              <w:r>
                <w:rPr>
                  <w:color w:val="#410a8c"/>
                  <w:u w:val="single"/>
                </w:rPr>
                <w:t xml:space="preserve">François Lerouxel</w:t>
              </w:r>
            </w:hyperlink>
          </w:p>
          <w:p>
            <w:pPr/>
            <w:r>
              <w:rPr>
                <w:i w:val="1"/>
                <w:iCs w:val="1"/>
              </w:rPr>
              <w:t xml:space="preserve">Études celtiques</w:t>
            </w:r>
            <w:r>
              <w:rPr/>
              <w:t xml:space="preserve">, 2020</w:t>
            </w:r>
          </w:p>
          <w:p>
            <w:pPr/>
            <w:r>
              <w:rPr/>
              <w:t xml:space="preserve">Article dans une revue</w:t>
            </w:r>
          </w:p>
          <w:p>
            <w:pPr/>
            <w:hyperlink r:id="rId10" w:history="1">
              <w:r>
                <w:rPr>
                  <w:color w:val="#410a8c"/>
                  <w:u w:val="single"/>
                </w:rPr>
                <w:t xml:space="preserve">halshs-04048789v1</w:t>
              </w:r>
            </w:hyperlink>
          </w:p>
        </w:tc>
      </w:tr>
      <w:tr>
        <w:trPr/>
        <w:tc>
          <w:tcPr>
            <w:noWrap/>
          </w:tcPr>
          <w:p>
            <w:pPr>
              <w:spacing w:after="200"/>
            </w:pPr>
            <w:hyperlink r:id="rId11" w:history="1">
              <w:r>
                <w:rPr>
                  <w:color w:val="1e198e"/>
                  <w:b w:val="1"/>
                  <w:bCs w:val="1"/>
                  <w:u w:val="single"/>
                </w:rPr>
                <w:t xml:space="preserve">J. Manning, The Open Sea : the Economic Life of the Ancient Mediterranean World, 2018, dans Topoi 23, 2020, p. 193-203.</w:t>
              </w:r>
            </w:hyperlink>
          </w:p>
          <w:p>
            <w:pPr/>
            <w:hyperlink r:id="rId8" w:history="1">
              <w:r>
                <w:rPr>
                  <w:color w:val="#410a8c"/>
                  <w:u w:val="single"/>
                </w:rPr>
                <w:t xml:space="preserve">François Lerouxel</w:t>
              </w:r>
            </w:hyperlink>
          </w:p>
          <w:p>
            <w:pPr/>
            <w:r>
              <w:rPr>
                <w:i w:val="1"/>
                <w:iCs w:val="1"/>
              </w:rPr>
              <w:t xml:space="preserve">Topoi Orient - Occident</w:t>
            </w:r>
            <w:r>
              <w:rPr/>
              <w:t xml:space="preserve">, 2020</w:t>
            </w:r>
          </w:p>
          <w:p>
            <w:pPr/>
            <w:r>
              <w:rPr/>
              <w:t xml:space="preserve">Article dans une revue</w:t>
            </w:r>
            <w:r>
              <w:rPr/>
              <w:t xml:space="preserve"> (compte-rendu de lecture)</w:t>
            </w:r>
          </w:p>
          <w:p>
            <w:pPr/>
            <w:hyperlink r:id="rId11" w:history="1">
              <w:r>
                <w:rPr>
                  <w:color w:val="#410a8c"/>
                  <w:u w:val="single"/>
                </w:rPr>
                <w:t xml:space="preserve">halshs-04051680v1</w:t>
              </w:r>
            </w:hyperlink>
          </w:p>
        </w:tc>
      </w:tr>
      <w:tr>
        <w:trPr/>
        <w:tc>
          <w:tcPr>
            <w:noWrap/>
          </w:tcPr>
          <w:p>
            <w:pPr>
              <w:spacing w:after="200"/>
            </w:pPr>
            <w:hyperlink r:id="rId12" w:history="1">
              <w:r>
                <w:rPr>
                  <w:color w:val="1e198e"/>
                  <w:b w:val="1"/>
                  <w:bCs w:val="1"/>
                  <w:u w:val="single"/>
                </w:rPr>
                <w:t xml:space="preserve">Jérome France, Finances publiques, intérêts privés dans le monde romain. Choix d’écrits, 2017, dans REA 2018-1, p. 293-297.</w:t>
              </w:r>
            </w:hyperlink>
          </w:p>
          <w:p>
            <w:pPr/>
            <w:hyperlink r:id="rId8" w:history="1">
              <w:r>
                <w:rPr>
                  <w:color w:val="#410a8c"/>
                  <w:u w:val="single"/>
                </w:rPr>
                <w:t xml:space="preserve">François Lerouxel</w:t>
              </w:r>
            </w:hyperlink>
          </w:p>
          <w:p>
            <w:pPr/>
            <w:r>
              <w:rPr>
                <w:i w:val="1"/>
                <w:iCs w:val="1"/>
              </w:rPr>
              <w:t xml:space="preserve">Revue des études anciennes</w:t>
            </w:r>
            <w:r>
              <w:rPr/>
              <w:t xml:space="preserve">, 2018</w:t>
            </w:r>
          </w:p>
          <w:p>
            <w:pPr/>
            <w:r>
              <w:rPr/>
              <w:t xml:space="preserve">Article dans une revue</w:t>
            </w:r>
            <w:r>
              <w:rPr/>
              <w:t xml:space="preserve"> (compte-rendu de lecture)</w:t>
            </w:r>
          </w:p>
          <w:p>
            <w:pPr/>
            <w:hyperlink r:id="rId12" w:history="1">
              <w:r>
                <w:rPr>
                  <w:color w:val="#410a8c"/>
                  <w:u w:val="single"/>
                </w:rPr>
                <w:t xml:space="preserve">halshs-04051683v1</w:t>
              </w:r>
            </w:hyperlink>
          </w:p>
        </w:tc>
      </w:tr>
      <w:tr>
        <w:trPr/>
        <w:tc>
          <w:tcPr>
            <w:noWrap/>
          </w:tcPr>
          <w:p>
            <w:pPr>
              <w:spacing w:after="200"/>
            </w:pPr>
            <w:hyperlink r:id="rId13" w:history="1">
              <w:r>
                <w:rPr>
                  <w:color w:val="1e198e"/>
                  <w:b w:val="1"/>
                  <w:bCs w:val="1"/>
                  <w:u w:val="single"/>
                </w:rPr>
                <w:t xml:space="preserve">l’Italie républicaine est-elle encore au centre de l’histoire économique romaine ?</w:t>
              </w:r>
            </w:hyperlink>
          </w:p>
          <w:p>
            <w:pPr/>
            <w:hyperlink r:id="rId8" w:history="1">
              <w:r>
                <w:rPr>
                  <w:color w:val="#410a8c"/>
                  <w:u w:val="single"/>
                </w:rPr>
                <w:t xml:space="preserve">François Lerouxel</w:t>
              </w:r>
            </w:hyperlink>
          </w:p>
          <w:p>
            <w:pPr/>
            <w:r>
              <w:rPr>
                <w:i w:val="1"/>
                <w:iCs w:val="1"/>
              </w:rPr>
              <w:t xml:space="preserve">Revue des études anciennes</w:t>
            </w:r>
            <w:r>
              <w:rPr/>
              <w:t xml:space="preserve">, 2017, 119 (1), p. 197-207</w:t>
            </w:r>
          </w:p>
          <w:p>
            <w:pPr/>
            <w:r>
              <w:rPr/>
              <w:t xml:space="preserve">Article dans une revue</w:t>
            </w:r>
          </w:p>
          <w:p>
            <w:pPr/>
            <w:hyperlink r:id="rId13" w:history="1">
              <w:r>
                <w:rPr>
                  <w:color w:val="#410a8c"/>
                  <w:u w:val="single"/>
                </w:rPr>
                <w:t xml:space="preserve">hal-01948402v1</w:t>
              </w:r>
            </w:hyperlink>
          </w:p>
        </w:tc>
      </w:tr>
      <w:tr>
        <w:trPr/>
        <w:tc>
          <w:tcPr>
            <w:noWrap/>
          </w:tcPr>
          <w:p>
            <w:pPr>
              <w:spacing w:after="200"/>
            </w:pPr>
            <w:hyperlink r:id="rId14" w:history="1">
              <w:r>
                <w:rPr>
                  <w:color w:val="1e198e"/>
                  <w:b w:val="1"/>
                  <w:bCs w:val="1"/>
                  <w:u w:val="single"/>
                </w:rPr>
                <w:t xml:space="preserve">Le marché du crédit privé, la bibliothèque des acquêts et les tâches publiques en égypte romaine</w:t>
              </w:r>
            </w:hyperlink>
          </w:p>
          <w:p>
            <w:pPr/>
            <w:hyperlink r:id="rId8" w:history="1">
              <w:r>
                <w:rPr>
                  <w:color w:val="#410a8c"/>
                  <w:u w:val="single"/>
                </w:rPr>
                <w:t xml:space="preserve">François Lerouxel</w:t>
              </w:r>
            </w:hyperlink>
          </w:p>
          <w:p>
            <w:pPr/>
            <w:r>
              <w:rPr>
                <w:i w:val="1"/>
                <w:iCs w:val="1"/>
              </w:rPr>
              <w:t xml:space="preserve">Les Annales. Histoire, sciences sociales</w:t>
            </w:r>
            <w:r>
              <w:rPr/>
              <w:t xml:space="preserve">, 2012, 4, pp.943-976. </w:t>
            </w:r>
            <w:hyperlink r:id="rId15" w:history="1">
              <w:r>
                <w:rPr>
                  <w:color w:val="#410a8c"/>
                  <w:u w:val="single"/>
                </w:rPr>
                <w:t xml:space="preserve">⟨10.1017/S0395264900009471⟩</w:t>
              </w:r>
            </w:hyperlink>
          </w:p>
          <w:p>
            <w:pPr/>
            <w:r>
              <w:rPr/>
              <w:t xml:space="preserve">Article dans une revue</w:t>
            </w:r>
          </w:p>
          <w:p>
            <w:pPr/>
            <w:hyperlink r:id="rId14" w:history="1">
              <w:r>
                <w:rPr>
                  <w:color w:val="#410a8c"/>
                  <w:u w:val="single"/>
                </w:rPr>
                <w:t xml:space="preserve">halshs-04034271v1</w:t>
              </w:r>
            </w:hyperlink>
          </w:p>
        </w:tc>
      </w:tr>
      <w:tr>
        <w:trPr/>
        <w:tc>
          <w:tcPr>
            <w:noWrap/>
          </w:tcPr>
          <w:p>
            <w:pPr>
              <w:spacing w:after="200"/>
            </w:pPr>
            <w:hyperlink r:id="rId16" w:history="1">
              <w:r>
                <w:rPr>
                  <w:color w:val="1e198e"/>
                  <w:b w:val="1"/>
                  <w:bCs w:val="1"/>
                  <w:u w:val="single"/>
                </w:rPr>
                <w:t xml:space="preserve">« Des prêts sans intérêt ? Le taux d’intérêt à Oxyrhynchos avant 79 après J.-C. », Zeitschrift für Papyrologie und Epigraphik 181, 2012, p. 161-173</w:t>
              </w:r>
            </w:hyperlink>
          </w:p>
          <w:p>
            <w:pPr/>
            <w:hyperlink r:id="rId8" w:history="1">
              <w:r>
                <w:rPr>
                  <w:color w:val="#410a8c"/>
                  <w:u w:val="single"/>
                </w:rPr>
                <w:t xml:space="preserve">François Lerouxel</w:t>
              </w:r>
            </w:hyperlink>
          </w:p>
          <w:p>
            <w:pPr/>
            <w:r>
              <w:rPr>
                <w:i w:val="1"/>
                <w:iCs w:val="1"/>
              </w:rPr>
              <w:t xml:space="preserve">Zeitschrift für Papyrologie und Epigraphik</w:t>
            </w:r>
            <w:r>
              <w:rPr/>
              <w:t xml:space="preserve">, 2012</w:t>
            </w:r>
          </w:p>
          <w:p>
            <w:pPr/>
            <w:r>
              <w:rPr/>
              <w:t xml:space="preserve">Article dans une revue</w:t>
            </w:r>
          </w:p>
          <w:p>
            <w:pPr/>
            <w:hyperlink r:id="rId16" w:history="1">
              <w:r>
                <w:rPr>
                  <w:color w:val="#410a8c"/>
                  <w:u w:val="single"/>
                </w:rPr>
                <w:t xml:space="preserve">halshs-04048803v1</w:t>
              </w:r>
            </w:hyperlink>
          </w:p>
        </w:tc>
      </w:tr>
      <w:tr>
        <w:trPr/>
        <w:tc>
          <w:tcPr>
            <w:noWrap/>
          </w:tcPr>
          <w:p>
            <w:pPr>
              <w:spacing w:after="200"/>
            </w:pPr>
            <w:hyperlink r:id="rId17" w:history="1">
              <w:r>
                <w:rPr>
                  <w:color w:val="1e198e"/>
                  <w:b w:val="1"/>
                  <w:bCs w:val="1"/>
                  <w:u w:val="single"/>
                </w:rPr>
                <w:t xml:space="preserve">Lo Cascio, Crescita e declino : studi di storia dell’economia romana, Rome, « L’Erma » di Bretschneider, dans Annales HSS 67-4, 2012, p. 1109-1110.</w:t>
              </w:r>
            </w:hyperlink>
          </w:p>
          <w:p>
            <w:pPr/>
            <w:hyperlink r:id="rId8" w:history="1">
              <w:r>
                <w:rPr>
                  <w:color w:val="#410a8c"/>
                  <w:u w:val="single"/>
                </w:rPr>
                <w:t xml:space="preserve">François Lerouxel</w:t>
              </w:r>
            </w:hyperlink>
          </w:p>
          <w:p>
            <w:pPr/>
            <w:r>
              <w:rPr>
                <w:i w:val="1"/>
                <w:iCs w:val="1"/>
              </w:rPr>
              <w:t xml:space="preserve">Les Annales. Histoire, sciences sociales</w:t>
            </w:r>
            <w:r>
              <w:rPr/>
              <w:t xml:space="preserve">, 2012</w:t>
            </w:r>
          </w:p>
          <w:p>
            <w:pPr/>
            <w:r>
              <w:rPr/>
              <w:t xml:space="preserve">Article dans une revue</w:t>
            </w:r>
          </w:p>
          <w:p>
            <w:pPr/>
            <w:hyperlink r:id="rId17" w:history="1">
              <w:r>
                <w:rPr>
                  <w:color w:val="#410a8c"/>
                  <w:u w:val="single"/>
                </w:rPr>
                <w:t xml:space="preserve">halshs-04051686v1</w:t>
              </w:r>
            </w:hyperlink>
          </w:p>
        </w:tc>
      </w:tr>
      <w:tr>
        <w:trPr/>
        <w:tc>
          <w:tcPr>
            <w:noWrap/>
          </w:tcPr>
          <w:p>
            <w:pPr>
              <w:spacing w:after="200"/>
            </w:pPr>
            <w:hyperlink r:id="rId18" w:history="1">
              <w:r>
                <w:rPr>
                  <w:color w:val="1e198e"/>
                  <w:b w:val="1"/>
                  <w:bCs w:val="1"/>
                  <w:u w:val="single"/>
                </w:rPr>
                <w:t xml:space="preserve">Chapitre 26 « Roman Egypt » de I. Morris, R. Saller et W. Scheidel (éd.), The Cambridge Economic History of the Roman world, dans Topoi 17/1, 2011, p. 138-144.</w:t>
              </w:r>
            </w:hyperlink>
          </w:p>
          <w:p>
            <w:pPr/>
            <w:hyperlink r:id="rId8" w:history="1">
              <w:r>
                <w:rPr>
                  <w:color w:val="#410a8c"/>
                  <w:u w:val="single"/>
                </w:rPr>
                <w:t xml:space="preserve">François Lerouxel</w:t>
              </w:r>
            </w:hyperlink>
          </w:p>
          <w:p>
            <w:pPr/>
            <w:r>
              <w:rPr>
                <w:i w:val="1"/>
                <w:iCs w:val="1"/>
              </w:rPr>
              <w:t xml:space="preserve">Topoi Orient - Occident</w:t>
            </w:r>
            <w:r>
              <w:rPr/>
              <w:t xml:space="preserve">, 2011</w:t>
            </w:r>
          </w:p>
          <w:p>
            <w:pPr/>
            <w:r>
              <w:rPr/>
              <w:t xml:space="preserve">Article dans une revue</w:t>
            </w:r>
            <w:r>
              <w:rPr/>
              <w:t xml:space="preserve"> (compte-rendu de lecture)</w:t>
            </w:r>
          </w:p>
          <w:p>
            <w:pPr/>
            <w:hyperlink r:id="rId18" w:history="1">
              <w:r>
                <w:rPr>
                  <w:color w:val="#410a8c"/>
                  <w:u w:val="single"/>
                </w:rPr>
                <w:t xml:space="preserve">halshs-04051690v1</w:t>
              </w:r>
            </w:hyperlink>
          </w:p>
        </w:tc>
      </w:tr>
      <w:tr>
        <w:trPr/>
        <w:tc>
          <w:tcPr>
            <w:noWrap/>
          </w:tcPr>
          <w:p>
            <w:pPr>
              <w:spacing w:after="200"/>
            </w:pPr>
            <w:hyperlink r:id="rId19" w:history="1">
              <w:r>
                <w:rPr>
                  <w:color w:val="1e198e"/>
                  <w:b w:val="1"/>
                  <w:bCs w:val="1"/>
                  <w:u w:val="single"/>
                </w:rPr>
                <w:t xml:space="preserve">Ph. Cancier, F. Joannes, P. Rouillard, A. Tenu (éd.), Autour de Polanyi.</w:t>
              </w:r>
            </w:hyperlink>
          </w:p>
          <w:p>
            <w:pPr/>
            <w:hyperlink r:id="rId20" w:history="1">
              <w:r>
                <w:rPr>
                  <w:color w:val="#410a8c"/>
                  <w:u w:val="single"/>
                </w:rPr>
                <w:t xml:space="preserve">Julien Zurbach</w:t>
              </w:r>
            </w:hyperlink>
            <w:r>
              <w:rPr/>
              <w:t xml:space="preserve">,</w:t>
            </w:r>
            <w:hyperlink r:id="rId8" w:history="1">
              <w:r>
                <w:rPr>
                  <w:color w:val="#410a8c"/>
                  <w:u w:val="single"/>
                </w:rPr>
                <w:t xml:space="preserve">François Lerouxel</w:t>
              </w:r>
            </w:hyperlink>
          </w:p>
          <w:p>
            <w:pPr/>
            <w:r>
              <w:rPr/>
              <w:t xml:space="preserve">2006, pp.349-360</w:t>
            </w:r>
          </w:p>
          <w:p>
            <w:pPr/>
            <w:r>
              <w:rPr/>
              <w:t xml:space="preserve">Article dans une revue</w:t>
            </w:r>
            <w:r>
              <w:rPr/>
              <w:t xml:space="preserve"> (compte-rendu de lecture)</w:t>
            </w:r>
          </w:p>
          <w:p>
            <w:pPr/>
            <w:hyperlink r:id="rId19" w:history="1">
              <w:r>
                <w:rPr>
                  <w:color w:val="#410a8c"/>
                  <w:u w:val="single"/>
                </w:rPr>
                <w:t xml:space="preserve">halshs-00783249v1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Private banks in villages from Roman Egypt », dans M. Langellotti et D. Rathbone (éd.), Village Institutions in Egypt in the Roman to Early Arab Periods, Proceedings of the British Academy, 231, 2020, p. 122–138</w:t>
              </w:r>
            </w:hyperlink>
          </w:p>
          <w:p>
            <w:pPr/>
            <w:hyperlink r:id="rId8" w:history="1">
              <w:r>
                <w:rPr>
                  <w:color w:val="#410a8c"/>
                  <w:u w:val="single"/>
                </w:rPr>
                <w:t xml:space="preserve">François Lerouxel</w:t>
              </w:r>
            </w:hyperlink>
          </w:p>
          <w:p>
            <w:pPr/>
            <w:r>
              <w:rPr/>
              <w:t xml:space="preserve">2020</w:t>
            </w:r>
          </w:p>
          <w:p>
            <w:pPr/>
            <w:r>
              <w:rPr/>
              <w:t xml:space="preserve">Proceedings/Recueil des communications</w:t>
            </w:r>
          </w:p>
          <w:p>
            <w:pPr/>
            <w:hyperlink r:id="rId21" w:history="1">
              <w:r>
                <w:rPr>
                  <w:color w:val="#410a8c"/>
                  <w:u w:val="single"/>
                </w:rPr>
                <w:t xml:space="preserve">halshs-04048769v1</w:t>
              </w:r>
            </w:hyperlink>
          </w:p>
        </w:tc>
      </w:tr>
      <w:tr>
        <w:trPr/>
        <w:tc>
          <w:tcPr>
            <w:noWrap/>
          </w:tcPr>
          <w:p>
            <w:pPr>
              <w:spacing w:after="200"/>
            </w:pPr>
            <w:hyperlink r:id="rId22" w:history="1">
              <w:r>
                <w:rPr>
                  <w:color w:val="1e198e"/>
                  <w:b w:val="1"/>
                  <w:bCs w:val="1"/>
                  <w:u w:val="single"/>
                </w:rPr>
                <w:t xml:space="preserve">« Two families and the monetization of Arsinoite villages in Roman Egypt », dans O. Tekin (éd.), Proceedings of the Second International Congress on the History of Money and Numismatics in the Mediterranean World, Antalya, 2018, p. 413-427</w:t>
              </w:r>
            </w:hyperlink>
          </w:p>
          <w:p>
            <w:pPr/>
            <w:hyperlink r:id="rId8" w:history="1">
              <w:r>
                <w:rPr>
                  <w:color w:val="#410a8c"/>
                  <w:u w:val="single"/>
                </w:rPr>
                <w:t xml:space="preserve">François Lerouxel</w:t>
              </w:r>
            </w:hyperlink>
          </w:p>
          <w:p>
            <w:pPr/>
            <w:r>
              <w:rPr/>
              <w:t xml:space="preserve">2018</w:t>
            </w:r>
          </w:p>
          <w:p>
            <w:pPr/>
            <w:r>
              <w:rPr/>
              <w:t xml:space="preserve">Proceedings/Recueil des communications</w:t>
            </w:r>
          </w:p>
          <w:p>
            <w:pPr/>
            <w:hyperlink r:id="rId22" w:history="1">
              <w:r>
                <w:rPr>
                  <w:color w:val="#410a8c"/>
                  <w:u w:val="single"/>
                </w:rPr>
                <w:t xml:space="preserve">halshs-04034275v1</w:t>
              </w:r>
            </w:hyperlink>
          </w:p>
        </w:tc>
      </w:tr>
      <w:tr>
        <w:trPr/>
        <w:tc>
          <w:tcPr>
            <w:noWrap/>
          </w:tcPr>
          <w:p>
            <w:pPr>
              <w:spacing w:after="200"/>
            </w:pPr>
            <w:hyperlink r:id="rId23" w:history="1">
              <w:r>
                <w:rPr>
                  <w:color w:val="1e198e"/>
                  <w:b w:val="1"/>
                  <w:bCs w:val="1"/>
                  <w:u w:val="single"/>
                </w:rPr>
                <w:t xml:space="preserve">Propriétaires et citoyens dans l’Orient romain</w:t>
              </w:r>
            </w:hyperlink>
          </w:p>
          <w:p>
            <w:pPr/>
            <w:hyperlink r:id="rId8" w:history="1">
              <w:r>
                <w:rPr>
                  <w:color w:val="#410a8c"/>
                  <w:u w:val="single"/>
                </w:rPr>
                <w:t xml:space="preserve">François Lerouxel</w:t>
              </w:r>
            </w:hyperlink>
            <w:r>
              <w:rPr/>
              <w:t xml:space="preserve">,</w:t>
            </w:r>
            <w:hyperlink r:id="rId24" w:history="1">
              <w:r>
                <w:rPr>
                  <w:color w:val="#410a8c"/>
                  <w:u w:val="single"/>
                </w:rPr>
                <w:t xml:space="preserve">Anne-Valérie Pont</w:t>
              </w:r>
            </w:hyperlink>
          </w:p>
          <w:p>
            <w:pPr/>
            <w:r>
              <w:rPr>
                <w:i w:val="1"/>
                <w:iCs w:val="1"/>
              </w:rPr>
              <w:t xml:space="preserve">Propriétaires et citoyens dans l'Orient romain</w:t>
            </w:r>
            <w:r>
              <w:rPr/>
              <w:t xml:space="preserve">, Ausonius, 2016</w:t>
            </w:r>
          </w:p>
          <w:p>
            <w:pPr/>
            <w:r>
              <w:rPr/>
              <w:t xml:space="preserve">Proceedings/Recueil des communications</w:t>
            </w:r>
          </w:p>
          <w:p>
            <w:pPr/>
            <w:hyperlink r:id="rId23" w:history="1">
              <w:r>
                <w:rPr>
                  <w:color w:val="#410a8c"/>
                  <w:u w:val="single"/>
                </w:rPr>
                <w:t xml:space="preserve">hal-04540283v1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banque privée et l’économie monétaire égyptienne (IIIe a.C.-IVe s. p.C.)</w:t>
              </w:r>
            </w:hyperlink>
          </w:p>
          <w:p>
            <w:pPr/>
            <w:hyperlink r:id="rId8" w:history="1">
              <w:r>
                <w:rPr>
                  <w:color w:val="#410a8c"/>
                  <w:u w:val="single"/>
                </w:rPr>
                <w:t xml:space="preserve">François Lerouxel</w:t>
              </w:r>
            </w:hyperlink>
          </w:p>
          <w:p>
            <w:pPr/>
            <w:r>
              <w:rPr/>
              <w:t xml:space="preserve">A paraître, Studia Hellenistica</w:t>
            </w:r>
          </w:p>
          <w:p>
            <w:pPr/>
            <w:r>
              <w:rPr/>
              <w:t xml:space="preserve">Ouvrages</w:t>
            </w:r>
          </w:p>
          <w:p>
            <w:pPr/>
            <w:hyperlink r:id="rId25" w:history="1">
              <w:r>
                <w:rPr>
                  <w:color w:val="#410a8c"/>
                  <w:u w:val="single"/>
                </w:rPr>
                <w:t xml:space="preserve">halshs-04051673v1</w:t>
              </w:r>
            </w:hyperlink>
          </w:p>
        </w:tc>
      </w:tr>
      <w:tr>
        <w:trPr/>
        <w:tc>
          <w:tcPr>
            <w:noWrap/>
          </w:tcPr>
          <w:p>
            <w:pPr>
              <w:spacing w:after="200"/>
            </w:pPr>
            <w:hyperlink r:id="rId26" w:history="1">
              <w:r>
                <w:rPr>
                  <w:color w:val="1e198e"/>
                  <w:b w:val="1"/>
                  <w:bCs w:val="1"/>
                  <w:u w:val="single"/>
                </w:rPr>
                <w:t xml:space="preserve">Le changement dans les économies antiques</w:t>
              </w:r>
            </w:hyperlink>
          </w:p>
          <w:p>
            <w:pPr/>
            <w:hyperlink r:id="rId8" w:history="1">
              <w:r>
                <w:rPr>
                  <w:color w:val="#410a8c"/>
                  <w:u w:val="single"/>
                </w:rPr>
                <w:t xml:space="preserve">François Lerouxel</w:t>
              </w:r>
            </w:hyperlink>
            <w:r>
              <w:rPr/>
              <w:t xml:space="preserve">,</w:t>
            </w:r>
            <w:hyperlink r:id="rId20" w:history="1">
              <w:r>
                <w:rPr>
                  <w:color w:val="#410a8c"/>
                  <w:u w:val="single"/>
                </w:rPr>
                <w:t xml:space="preserve">Julien Zurbach</w:t>
              </w:r>
            </w:hyperlink>
          </w:p>
          <w:p>
            <w:pPr/>
            <w:r>
              <w:rPr/>
              <w:t xml:space="preserve">Ausonius Éditions, Scripta Antiqua (140), 2020, 978-2-35613-346-5</w:t>
            </w:r>
          </w:p>
          <w:p>
            <w:pPr/>
            <w:r>
              <w:rPr/>
              <w:t xml:space="preserve">Ouvrages</w:t>
            </w:r>
          </w:p>
          <w:p>
            <w:pPr/>
            <w:hyperlink r:id="rId26" w:history="1">
              <w:r>
                <w:rPr>
                  <w:color w:val="#410a8c"/>
                  <w:u w:val="single"/>
                </w:rPr>
                <w:t xml:space="preserve">halshs-04048747v1</w:t>
              </w:r>
            </w:hyperlink>
          </w:p>
        </w:tc>
      </w:tr>
      <w:tr>
        <w:trPr/>
        <w:tc>
          <w:tcPr>
            <w:noWrap/>
          </w:tcPr>
          <w:p>
            <w:pPr>
              <w:spacing w:after="200"/>
            </w:pPr>
            <w:hyperlink r:id="rId27" w:history="1">
              <w:r>
                <w:rPr>
                  <w:color w:val="1e198e"/>
                  <w:b w:val="1"/>
                  <w:bCs w:val="1"/>
                  <w:u w:val="single"/>
                </w:rPr>
                <w:t xml:space="preserve">Le marché du crédit privé dans le monde romain (Égypte et Campanie)</w:t>
              </w:r>
            </w:hyperlink>
          </w:p>
          <w:p>
            <w:pPr/>
            <w:hyperlink r:id="rId8" w:history="1">
              <w:r>
                <w:rPr>
                  <w:color w:val="#410a8c"/>
                  <w:u w:val="single"/>
                </w:rPr>
                <w:t xml:space="preserve">François Lerouxel</w:t>
              </w:r>
            </w:hyperlink>
          </w:p>
          <w:p>
            <w:pPr/>
            <w:r>
              <w:rPr/>
              <w:t xml:space="preserve">Publications de l’École française de Rome, Bibliothèque des écoles françaises d’Athènes et de Rome (374), 2016, 9782728311842. </w:t>
            </w:r>
            <w:hyperlink r:id="rId28" w:history="1">
              <w:r>
                <w:rPr>
                  <w:color w:val="#410a8c"/>
                  <w:u w:val="single"/>
                </w:rPr>
                <w:t xml:space="preserve">⟨10.4000/books.efr.31320⟩</w:t>
              </w:r>
            </w:hyperlink>
          </w:p>
          <w:p>
            <w:pPr/>
            <w:r>
              <w:rPr/>
              <w:t xml:space="preserve">Ouvrages</w:t>
            </w:r>
          </w:p>
          <w:p>
            <w:pPr/>
            <w:hyperlink r:id="rId27" w:history="1">
              <w:r>
                <w:rPr>
                  <w:color w:val="#410a8c"/>
                  <w:u w:val="single"/>
                </w:rPr>
                <w:t xml:space="preserve">halshs-04048744v1</w:t>
              </w:r>
            </w:hyperlink>
          </w:p>
        </w:tc>
      </w:tr>
      <w:tr>
        <w:trPr/>
        <w:tc>
          <w:tcPr>
            <w:noWrap/>
          </w:tcPr>
          <w:p>
            <w:pPr>
              <w:spacing w:after="200"/>
            </w:pPr>
            <w:hyperlink r:id="rId29" w:history="1">
              <w:r>
                <w:rPr>
                  <w:color w:val="1e198e"/>
                  <w:b w:val="1"/>
                  <w:bCs w:val="1"/>
                  <w:u w:val="single"/>
                </w:rPr>
                <w:t xml:space="preserve">Propriétaires et citoyens dans l'Orient romain</w:t>
              </w:r>
            </w:hyperlink>
          </w:p>
          <w:p>
            <w:pPr/>
            <w:hyperlink r:id="rId8" w:history="1">
              <w:r>
                <w:rPr>
                  <w:color w:val="#410a8c"/>
                  <w:u w:val="single"/>
                </w:rPr>
                <w:t xml:space="preserve">François Lerouxel</w:t>
              </w:r>
            </w:hyperlink>
            <w:r>
              <w:rPr/>
              <w:t xml:space="preserve">,</w:t>
            </w:r>
            <w:hyperlink r:id="rId24" w:history="1">
              <w:r>
                <w:rPr>
                  <w:color w:val="#410a8c"/>
                  <w:u w:val="single"/>
                </w:rPr>
                <w:t xml:space="preserve">Anne-Valérie Pont</w:t>
              </w:r>
            </w:hyperlink>
          </w:p>
          <w:p>
            <w:pPr/>
            <w:r>
              <w:rPr/>
              <w:t xml:space="preserve">Ausonius Éditions, Scripta Antiqua (84), 2016, 978-2-35613-152-2</w:t>
            </w:r>
          </w:p>
          <w:p>
            <w:pPr/>
            <w:r>
              <w:rPr/>
              <w:t xml:space="preserve">Ouvrages</w:t>
            </w:r>
          </w:p>
          <w:p>
            <w:pPr/>
            <w:hyperlink r:id="rId29" w:history="1">
              <w:r>
                <w:rPr>
                  <w:color w:val="#410a8c"/>
                  <w:u w:val="single"/>
                </w:rPr>
                <w:t xml:space="preserve">halshs-04048750v1</w:t>
              </w:r>
            </w:hyperlink>
          </w:p>
        </w:tc>
      </w:tr>
      <w:tr>
        <w:trPr/>
        <w:tc>
          <w:tcPr>
            <w:noWrap/>
          </w:tcPr>
          <w:p>
            <w:pPr>
              <w:spacing w:after="200"/>
            </w:pPr>
            <w:hyperlink r:id="rId30" w:history="1">
              <w:r>
                <w:rPr>
                  <w:color w:val="1e198e"/>
                  <w:b w:val="1"/>
                  <w:bCs w:val="1"/>
                  <w:u w:val="single"/>
                </w:rPr>
                <w:t xml:space="preserve">Les affaires de Monsieur Andreau.</w:t>
              </w:r>
            </w:hyperlink>
          </w:p>
          <w:p>
            <w:pPr/>
            <w:hyperlink r:id="rId31" w:history="1">
              <w:r>
                <w:rPr>
                  <w:color w:val="#410a8c"/>
                  <w:u w:val="single"/>
                </w:rPr>
                <w:t xml:space="preserve">Catherine Apicella</w:t>
              </w:r>
            </w:hyperlink>
            <w:r>
              <w:rPr/>
              <w:t xml:space="preserve">,</w:t>
            </w:r>
            <w:hyperlink r:id="rId32" w:history="1">
              <w:r>
                <w:rPr>
                  <w:color w:val="#410a8c"/>
                  <w:u w:val="single"/>
                </w:rPr>
                <w:t xml:space="preserve">Marie-Laurence Haack</w:t>
              </w:r>
            </w:hyperlink>
            <w:r>
              <w:rPr/>
              <w:t xml:space="preserve">,</w:t>
            </w:r>
            <w:hyperlink r:id="rId8" w:history="1">
              <w:r>
                <w:rPr>
                  <w:color w:val="#410a8c"/>
                  <w:u w:val="single"/>
                </w:rPr>
                <w:t xml:space="preserve">François Lerouxel</w:t>
              </w:r>
            </w:hyperlink>
          </w:p>
          <w:p>
            <w:pPr/>
            <w:r>
              <w:rPr/>
              <w:t xml:space="preserve">C. Apicella, M.-L. Haack, F. Lerouxel. Ausonius, pp.315 2014, 978‑2‑35613‑108‑9</w:t>
            </w:r>
          </w:p>
          <w:p>
            <w:pPr/>
            <w:r>
              <w:rPr/>
              <w:t xml:space="preserve">Ouvrages</w:t>
            </w:r>
          </w:p>
          <w:p>
            <w:pPr/>
            <w:hyperlink r:id="rId30" w:history="1">
              <w:r>
                <w:rPr>
                  <w:color w:val="#410a8c"/>
                  <w:u w:val="single"/>
                </w:rPr>
                <w:t xml:space="preserve">halshs-01485401v1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 Marriage and Asymmetric Information on the Real Estate Market in Roman Egypt », dans C. Rosillo-López et M. García Morcillo, (éd.), Managing Information in the Roman Economy, Palgrave Studies in Ancient Economies, 2021, p. 135-156</w:t>
              </w:r>
            </w:hyperlink>
          </w:p>
          <w:p>
            <w:pPr/>
            <w:hyperlink r:id="rId8" w:history="1">
              <w:r>
                <w:rPr>
                  <w:color w:val="#410a8c"/>
                  <w:u w:val="single"/>
                </w:rPr>
                <w:t xml:space="preserve">François Lerouxel</w:t>
              </w:r>
            </w:hyperlink>
          </w:p>
          <w:p>
            <w:pPr/>
            <w:r>
              <w:rPr>
                <w:i w:val="1"/>
                <w:iCs w:val="1"/>
              </w:rPr>
              <w:t xml:space="preserve">C. Rosillo-López et M. García Morcillo, (éd.), Managing Information in the Roman Economy, Palgrave Studies in Ancient Economies, 2021, p. 135-156.</w:t>
            </w:r>
            <w:r>
              <w:rPr/>
              <w:t xml:space="preserve">, 2021</w:t>
            </w:r>
          </w:p>
          <w:p>
            <w:pPr/>
            <w:r>
              <w:rPr/>
              <w:t xml:space="preserve">Chapitre d'ouvrage</w:t>
            </w:r>
          </w:p>
          <w:p>
            <w:pPr/>
            <w:hyperlink r:id="rId33" w:history="1">
              <w:r>
                <w:rPr>
                  <w:color w:val="#410a8c"/>
                  <w:u w:val="single"/>
                </w:rPr>
                <w:t xml:space="preserve">halshs-04048753v1</w:t>
              </w:r>
            </w:hyperlink>
          </w:p>
        </w:tc>
      </w:tr>
      <w:tr>
        <w:trPr/>
        <w:tc>
          <w:tcPr>
            <w:noWrap/>
          </w:tcPr>
          <w:p>
            <w:pPr>
              <w:spacing w:after="200"/>
            </w:pPr>
            <w:hyperlink r:id="rId34" w:history="1">
              <w:r>
                <w:rPr>
                  <w:color w:val="1e198e"/>
                  <w:b w:val="1"/>
                  <w:bCs w:val="1"/>
                  <w:u w:val="single"/>
                </w:rPr>
                <w:t xml:space="preserve">De l’amidonnier au blé dur : un changement dans la céréaliculture égyptienne dans la seconde moitié du ier millénaire a.C.</w:t>
              </w:r>
            </w:hyperlink>
          </w:p>
          <w:p>
            <w:pPr/>
            <w:hyperlink r:id="rId35" w:history="1">
              <w:r>
                <w:rPr>
                  <w:color w:val="#410a8c"/>
                  <w:u w:val="single"/>
                </w:rPr>
                <w:t xml:space="preserve">Damien Agut-Labordere</w:t>
              </w:r>
            </w:hyperlink>
            <w:r>
              <w:rPr/>
              <w:t xml:space="preserve">,</w:t>
            </w:r>
            <w:hyperlink r:id="rId8" w:history="1">
              <w:r>
                <w:rPr>
                  <w:color w:val="#410a8c"/>
                  <w:u w:val="single"/>
                </w:rPr>
                <w:t xml:space="preserve">François Lerouxel</w:t>
              </w:r>
            </w:hyperlink>
            <w:r>
              <w:rPr/>
              <w:t xml:space="preserve">,</w:t>
            </w:r>
            <w:hyperlink r:id="rId36" w:history="1">
              <w:r>
                <w:rPr>
                  <w:color w:val="#410a8c"/>
                  <w:u w:val="single"/>
                </w:rPr>
                <w:t xml:space="preserve">Charlène Bouchaud</w:t>
              </w:r>
            </w:hyperlink>
            <w:r>
              <w:rPr/>
              <w:t xml:space="preserve">,</w:t>
            </w:r>
            <w:hyperlink r:id="rId37" w:history="1">
              <w:r>
                <w:rPr>
                  <w:color w:val="#410a8c"/>
                  <w:u w:val="single"/>
                </w:rPr>
                <w:t xml:space="preserve">Claire Newton</w:t>
              </w:r>
            </w:hyperlink>
          </w:p>
          <w:p>
            <w:pPr/>
            <w:r>
              <w:rPr>
                <w:i w:val="1"/>
                <w:iCs w:val="1"/>
              </w:rPr>
              <w:t xml:space="preserve">F. Lerouxel et J. Zurbach (eds), Le changement dans les économies antiques,</w:t>
            </w:r>
            <w:r>
              <w:rPr/>
              <w:t xml:space="preserve">, pp.29-79, 2020</w:t>
            </w:r>
          </w:p>
          <w:p>
            <w:pPr/>
            <w:r>
              <w:rPr/>
              <w:t xml:space="preserve">Chapitre d'ouvrage</w:t>
            </w:r>
          </w:p>
          <w:p>
            <w:pPr/>
            <w:hyperlink r:id="rId34" w:history="1">
              <w:r>
                <w:rPr>
                  <w:color w:val="#410a8c"/>
                  <w:u w:val="single"/>
                </w:rPr>
                <w:t xml:space="preserve">hal-03092392v1</w:t>
              </w:r>
            </w:hyperlink>
          </w:p>
        </w:tc>
      </w:tr>
      <w:tr>
        <w:trPr/>
        <w:tc>
          <w:tcPr>
            <w:noWrap/>
          </w:tcPr>
          <w:p>
            <w:pPr>
              <w:spacing w:after="200"/>
            </w:pPr>
            <w:hyperlink r:id="rId38" w:history="1">
              <w:r>
                <w:rPr>
                  <w:color w:val="1e198e"/>
                  <w:b w:val="1"/>
                  <w:bCs w:val="1"/>
                  <w:u w:val="single"/>
                </w:rPr>
                <w:t xml:space="preserve">« Introduction : Le changement plutôt que la croissance », dans F. Lerouxel et J. Zurbach (éd.), Le changement dans les économies antiques, Ausonius Éditions, Scripta Antiqua 140, Bordeaux, 2020, p. 9-25 (avec J. Zurbach)</w:t>
              </w:r>
            </w:hyperlink>
          </w:p>
          <w:p>
            <w:pPr/>
            <w:hyperlink r:id="rId8" w:history="1">
              <w:r>
                <w:rPr>
                  <w:color w:val="#410a8c"/>
                  <w:u w:val="single"/>
                </w:rPr>
                <w:t xml:space="preserve">François Lerouxel</w:t>
              </w:r>
            </w:hyperlink>
          </w:p>
          <w:p>
            <w:pPr/>
            <w:r>
              <w:rPr>
                <w:i w:val="1"/>
                <w:iCs w:val="1"/>
              </w:rPr>
              <w:t xml:space="preserve">F. Lerouxel et J. Zurbach (éd.), Le changement dans les économies antiques, Ausonius Éditions, Scripta Antiqua 140, Bordeaux, 2020</w:t>
            </w:r>
            <w:r>
              <w:rPr/>
              <w:t xml:space="preserve">, 2020</w:t>
            </w:r>
          </w:p>
          <w:p>
            <w:pPr/>
            <w:r>
              <w:rPr/>
              <w:t xml:space="preserve">Chapitre d'ouvrage</w:t>
            </w:r>
          </w:p>
          <w:p>
            <w:pPr/>
            <w:hyperlink r:id="rId38" w:history="1">
              <w:r>
                <w:rPr>
                  <w:color w:val="#410a8c"/>
                  <w:u w:val="single"/>
                </w:rPr>
                <w:t xml:space="preserve">halshs-04048762v1</w:t>
              </w:r>
            </w:hyperlink>
          </w:p>
        </w:tc>
      </w:tr>
      <w:tr>
        <w:trPr/>
        <w:tc>
          <w:tcPr>
            <w:noWrap/>
          </w:tcPr>
          <w:p>
            <w:pPr>
              <w:spacing w:after="200"/>
            </w:pPr>
            <w:hyperlink r:id="rId39" w:history="1">
              <w:r>
                <w:rPr>
                  <w:color w:val="1e198e"/>
                  <w:b w:val="1"/>
                  <w:bCs w:val="1"/>
                  <w:u w:val="single"/>
                </w:rPr>
                <w:t xml:space="preserve">« Y a-t-il des riches en Égypte romaine au Ier s. ? », dans F. Lerouxel et A.-V. Pont (éd.), Propriétaires et citoyens dans l'Orient romain, Ausonius Éditions, Scripta Antiqua 84, Bordeaux, 2016, p. 213-231</w:t>
              </w:r>
            </w:hyperlink>
          </w:p>
          <w:p>
            <w:pPr/>
            <w:hyperlink r:id="rId8" w:history="1">
              <w:r>
                <w:rPr>
                  <w:color w:val="#410a8c"/>
                  <w:u w:val="single"/>
                </w:rPr>
                <w:t xml:space="preserve">François Lerouxel</w:t>
              </w:r>
            </w:hyperlink>
          </w:p>
          <w:p>
            <w:pPr/>
            <w:r>
              <w:rPr>
                <w:i w:val="1"/>
                <w:iCs w:val="1"/>
              </w:rPr>
              <w:t xml:space="preserve">F. Lerouxel et A.-V. Pont (éd.), Propriétaires et citoyens dans l'Orient romain, Ausonius Éditions, Scripta Antiqua 84, Bordeaux, 2016, p. 213-231.</w:t>
            </w:r>
            <w:r>
              <w:rPr/>
              <w:t xml:space="preserve">, 2016</w:t>
            </w:r>
          </w:p>
          <w:p>
            <w:pPr/>
            <w:r>
              <w:rPr/>
              <w:t xml:space="preserve">Chapitre d'ouvrage</w:t>
            </w:r>
          </w:p>
          <w:p>
            <w:pPr/>
            <w:hyperlink r:id="rId39" w:history="1">
              <w:r>
                <w:rPr>
                  <w:color w:val="#410a8c"/>
                  <w:u w:val="single"/>
                </w:rPr>
                <w:t xml:space="preserve">halshs-04048772v1</w:t>
              </w:r>
            </w:hyperlink>
          </w:p>
        </w:tc>
      </w:tr>
      <w:tr>
        <w:trPr/>
        <w:tc>
          <w:tcPr>
            <w:noWrap/>
          </w:tcPr>
          <w:p>
            <w:pPr>
              <w:spacing w:after="200"/>
            </w:pPr>
            <w:hyperlink r:id="rId40" w:history="1">
              <w:r>
                <w:rPr>
                  <w:color w:val="1e198e"/>
                  <w:b w:val="1"/>
                  <w:bCs w:val="1"/>
                  <w:u w:val="single"/>
                </w:rPr>
                <w:t xml:space="preserve">« Introduction », dans F. Lerouxel et A.-V. Pont (éd.), Propriétaires et citoyens dans l'Orient romain, Ausonius Éditions, Scripta Antiqua 84, Bordeaux, 2016, p. 9-13 (avec A.-V. Pont).</w:t>
              </w:r>
            </w:hyperlink>
          </w:p>
          <w:p>
            <w:pPr/>
            <w:hyperlink r:id="rId8" w:history="1">
              <w:r>
                <w:rPr>
                  <w:color w:val="#410a8c"/>
                  <w:u w:val="single"/>
                </w:rPr>
                <w:t xml:space="preserve">François Lerouxel</w:t>
              </w:r>
            </w:hyperlink>
          </w:p>
          <w:p>
            <w:pPr/>
            <w:r>
              <w:rPr>
                <w:i w:val="1"/>
                <w:iCs w:val="1"/>
              </w:rPr>
              <w:t xml:space="preserve">F. Lerouxel et A.-V. Pont (éd.), Propriétaires et citoyens dans l'Orient romain, Ausonius Éditions, Scripta Antiqua 84, Bordeaux, 2016.</w:t>
            </w:r>
            <w:r>
              <w:rPr/>
              <w:t xml:space="preserve">, 2016</w:t>
            </w:r>
          </w:p>
          <w:p>
            <w:pPr/>
            <w:r>
              <w:rPr/>
              <w:t xml:space="preserve">Chapitre d'ouvrage</w:t>
            </w:r>
          </w:p>
          <w:p>
            <w:pPr/>
            <w:hyperlink r:id="rId40" w:history="1">
              <w:r>
                <w:rPr>
                  <w:color w:val="#410a8c"/>
                  <w:u w:val="single"/>
                </w:rPr>
                <w:t xml:space="preserve">halshs-04048786v1</w:t>
              </w:r>
            </w:hyperlink>
          </w:p>
        </w:tc>
      </w:tr>
      <w:tr>
        <w:trPr/>
        <w:tc>
          <w:tcPr>
            <w:noWrap/>
          </w:tcPr>
          <w:p>
            <w:pPr>
              <w:spacing w:after="200"/>
            </w:pPr>
            <w:hyperlink r:id="rId41" w:history="1">
              <w:r>
                <w:rPr>
                  <w:color w:val="1e198e"/>
                  <w:b w:val="1"/>
                  <w:bCs w:val="1"/>
                  <w:u w:val="single"/>
                </w:rPr>
                <w:t xml:space="preserve">« Inégalités foncières, évolution des cités grecques et intégration dans l'Empire », dans F. Lerouxel et A.-V. Pont (éd.), Propriétaires et citoyens dans l'Orient romain, Ausonius Éditions, Scripta Antiqua 84, Bordeaux, 2016, p. 311-323 (avec A.-V. Pont)</w:t>
              </w:r>
            </w:hyperlink>
          </w:p>
          <w:p>
            <w:pPr/>
            <w:hyperlink r:id="rId8" w:history="1">
              <w:r>
                <w:rPr>
                  <w:color w:val="#410a8c"/>
                  <w:u w:val="single"/>
                </w:rPr>
                <w:t xml:space="preserve">François Lerouxel</w:t>
              </w:r>
            </w:hyperlink>
          </w:p>
          <w:p>
            <w:pPr/>
            <w:r>
              <w:rPr>
                <w:i w:val="1"/>
                <w:iCs w:val="1"/>
              </w:rPr>
              <w:t xml:space="preserve">F. Lerouxel et A.-V. Pont (éd.), Propriétaires et citoyens dans l'Orient romain, Ausonius Éditions, Scripta Antiqua 84, Bordeaux, 2016,</w:t>
            </w:r>
            <w:r>
              <w:rPr/>
              <w:t xml:space="preserve">, 2016</w:t>
            </w:r>
          </w:p>
          <w:p>
            <w:pPr/>
            <w:r>
              <w:rPr/>
              <w:t xml:space="preserve">Chapitre d'ouvrage</w:t>
            </w:r>
          </w:p>
          <w:p>
            <w:pPr/>
            <w:hyperlink r:id="rId41" w:history="1">
              <w:r>
                <w:rPr>
                  <w:color w:val="#410a8c"/>
                  <w:u w:val="single"/>
                </w:rPr>
                <w:t xml:space="preserve">halshs-04048779v1</w:t>
              </w:r>
            </w:hyperlink>
          </w:p>
        </w:tc>
      </w:tr>
      <w:tr>
        <w:trPr/>
        <w:tc>
          <w:tcPr>
            <w:noWrap/>
          </w:tcPr>
          <w:p>
            <w:pPr>
              <w:spacing w:after="200"/>
            </w:pPr>
            <w:hyperlink r:id="rId42" w:history="1">
              <w:r>
                <w:rPr>
                  <w:color w:val="1e198e"/>
                  <w:b w:val="1"/>
                  <w:bCs w:val="1"/>
                  <w:u w:val="single"/>
                </w:rPr>
                <w:t xml:space="preserve">« The βιβλιοθήκη ἐγκτήσεων and transaction costs in the credit market of Roman Egypt (30 B.C.E. to ca. 170 C.E.) », dans D. Kehoe, D. Ratzan et U. Yiftach (éd.), Law and Transaction Costs in the Ancient Economy, University of Michigan Press, Ann Arbor, 2015, p. 162-184</w:t>
              </w:r>
            </w:hyperlink>
          </w:p>
          <w:p>
            <w:pPr/>
            <w:hyperlink r:id="rId8" w:history="1">
              <w:r>
                <w:rPr>
                  <w:color w:val="#410a8c"/>
                  <w:u w:val="single"/>
                </w:rPr>
                <w:t xml:space="preserve">François Lerouxel</w:t>
              </w:r>
            </w:hyperlink>
          </w:p>
          <w:p>
            <w:pPr/>
            <w:r>
              <w:rPr>
                <w:i w:val="1"/>
                <w:iCs w:val="1"/>
              </w:rPr>
              <w:t xml:space="preserve">D. Kehoe, D. Ratzan et U. Yiftach (éd.), Law and Transaction Costs in the Ancient Economy, University of Michigan Press, Ann Arbor, 2015.</w:t>
            </w:r>
            <w:r>
              <w:rPr/>
              <w:t xml:space="preserve">, 2015</w:t>
            </w:r>
          </w:p>
          <w:p>
            <w:pPr/>
            <w:r>
              <w:rPr/>
              <w:t xml:space="preserve">Chapitre d'ouvrage</w:t>
            </w:r>
          </w:p>
          <w:p>
            <w:pPr/>
            <w:hyperlink r:id="rId42" w:history="1">
              <w:r>
                <w:rPr>
                  <w:color w:val="#410a8c"/>
                  <w:u w:val="single"/>
                </w:rPr>
                <w:t xml:space="preserve">halshs-04048793v1</w:t>
              </w:r>
            </w:hyperlink>
          </w:p>
        </w:tc>
      </w:tr>
      <w:tr>
        <w:trPr/>
        <w:tc>
          <w:tcPr>
            <w:noWrap/>
          </w:tcPr>
          <w:p>
            <w:pPr>
              <w:spacing w:after="200"/>
            </w:pPr>
            <w:hyperlink r:id="rId43" w:history="1">
              <w:r>
                <w:rPr>
                  <w:color w:val="1e198e"/>
                  <w:b w:val="1"/>
                  <w:bCs w:val="1"/>
                  <w:u w:val="single"/>
                </w:rPr>
                <w:t xml:space="preserve">« Greek loans in the Roman period », dans J. G. Keenan, J. G. Manning et U. Yiftach-Firanko (éd.), Law and Legal Practice in Egypt from Alexander to the Arab Conquest, 332 BC-640 AD, Cambridge UP, Cambridge, 2014, p. 242-249.</w:t>
              </w:r>
            </w:hyperlink>
          </w:p>
          <w:p>
            <w:pPr/>
            <w:hyperlink r:id="rId8" w:history="1">
              <w:r>
                <w:rPr>
                  <w:color w:val="#410a8c"/>
                  <w:u w:val="single"/>
                </w:rPr>
                <w:t xml:space="preserve">François Lerouxel</w:t>
              </w:r>
            </w:hyperlink>
          </w:p>
          <w:p>
            <w:pPr/>
            <w:r>
              <w:rPr>
                <w:i w:val="1"/>
                <w:iCs w:val="1"/>
              </w:rPr>
              <w:t xml:space="preserve">J. G. Keenan, J. G. Manning et U. Yiftach-Firanko (éd.), Law and Legal Practice in Egypt from Alexander to the Arab Conquest, 332 BC-640 AD, Cambridge UP, Cambridge, 2014.</w:t>
            </w:r>
            <w:r>
              <w:rPr/>
              <w:t xml:space="preserve">, 2014</w:t>
            </w:r>
          </w:p>
          <w:p>
            <w:pPr/>
            <w:r>
              <w:rPr/>
              <w:t xml:space="preserve">Chapitre d'ouvrage</w:t>
            </w:r>
          </w:p>
          <w:p>
            <w:pPr/>
            <w:hyperlink r:id="rId43" w:history="1">
              <w:r>
                <w:rPr>
                  <w:color w:val="#410a8c"/>
                  <w:u w:val="single"/>
                </w:rPr>
                <w:t xml:space="preserve">halshs-04048798v1</w:t>
              </w:r>
            </w:hyperlink>
          </w:p>
        </w:tc>
      </w:tr>
      <w:tr>
        <w:trPr/>
        <w:tc>
          <w:tcPr>
            <w:noWrap/>
          </w:tcPr>
          <w:p>
            <w:pPr>
              <w:spacing w:after="200"/>
            </w:pPr>
            <w:hyperlink r:id="rId44" w:history="1">
              <w:r>
                <w:rPr>
                  <w:color w:val="1e198e"/>
                  <w:b w:val="1"/>
                  <w:bCs w:val="1"/>
                  <w:u w:val="single"/>
                </w:rPr>
                <w:t xml:space="preserve">« Introduction », dans C. Apicella, M.-L. Haack et F. Lerouxel (éd.), Les affaires de Monsieur Andreau: économie et société du monde romain, Ausonius Éditions, Scripta Antiqua 61, Bordeaux, 2014, p. 25-26.</w:t>
              </w:r>
            </w:hyperlink>
          </w:p>
          <w:p>
            <w:pPr/>
            <w:hyperlink r:id="rId8" w:history="1">
              <w:r>
                <w:rPr>
                  <w:color w:val="#410a8c"/>
                  <w:u w:val="single"/>
                </w:rPr>
                <w:t xml:space="preserve">François Lerouxel</w:t>
              </w:r>
            </w:hyperlink>
          </w:p>
          <w:p>
            <w:pPr/>
            <w:r>
              <w:rPr>
                <w:i w:val="1"/>
                <w:iCs w:val="1"/>
              </w:rPr>
              <w:t xml:space="preserve">C. Apicella, M.-L. Haack et F. Lerouxel (éd.), Les affaires de Monsieur Andreau: économie et société du monde romain, Ausonius Éditions, Scripta Antiqua 61, Bordeaux, 2014.</w:t>
            </w:r>
            <w:r>
              <w:rPr/>
              <w:t xml:space="preserve">, 2014</w:t>
            </w:r>
          </w:p>
          <w:p>
            <w:pPr/>
            <w:r>
              <w:rPr/>
              <w:t xml:space="preserve">Chapitre d'ouvrage</w:t>
            </w:r>
          </w:p>
          <w:p>
            <w:pPr/>
            <w:hyperlink r:id="rId44" w:history="1">
              <w:r>
                <w:rPr>
                  <w:color w:val="#410a8c"/>
                  <w:u w:val="single"/>
                </w:rPr>
                <w:t xml:space="preserve">halshs-04048813v1</w:t>
              </w:r>
            </w:hyperlink>
          </w:p>
        </w:tc>
      </w:tr>
      <w:tr>
        <w:trPr/>
        <w:tc>
          <w:tcPr>
            <w:noWrap/>
          </w:tcPr>
          <w:p>
            <w:pPr>
              <w:spacing w:after="200"/>
            </w:pPr>
            <w:hyperlink r:id="rId45" w:history="1">
              <w:r>
                <w:rPr>
                  <w:color w:val="1e198e"/>
                  <w:b w:val="1"/>
                  <w:bCs w:val="1"/>
                  <w:u w:val="single"/>
                </w:rPr>
                <w:t xml:space="preserve">La banque privée romaine et le marché du crédit dans les tablettes de Murecine et les papyrus d'Egypte romaine</w:t>
              </w:r>
            </w:hyperlink>
          </w:p>
          <w:p>
            <w:pPr/>
            <w:hyperlink r:id="rId8" w:history="1">
              <w:r>
                <w:rPr>
                  <w:color w:val="#410a8c"/>
                  <w:u w:val="single"/>
                </w:rPr>
                <w:t xml:space="preserve">François Lerouxel</w:t>
              </w:r>
            </w:hyperlink>
          </w:p>
          <w:p>
            <w:pPr/>
            <w:r>
              <w:rPr/>
              <w:t xml:space="preserve">Koenraad Verboven, Katelijn Vandorpe and Véronique Chankowski. </w:t>
            </w:r>
            <w:r>
              <w:rPr>
                <w:i w:val="1"/>
                <w:iCs w:val="1"/>
              </w:rPr>
              <w:t xml:space="preserve">"Pistoi dia tèn technèn" bankers, loans and archives in the ancient world : studies in honour of Raymond Bogaert</w:t>
            </w:r>
            <w:r>
              <w:rPr/>
              <w:t xml:space="preserve">, Leuven : Peeters, pp.169-198, 2008, Studia hellenistica ISSN 0779-344 8; 44</w:t>
            </w:r>
          </w:p>
          <w:p>
            <w:pPr/>
            <w:r>
              <w:rPr/>
              <w:t xml:space="preserve">Chapitre d'ouvrage</w:t>
            </w:r>
          </w:p>
          <w:p>
            <w:pPr/>
            <w:hyperlink r:id="rId45" w:history="1">
              <w:r>
                <w:rPr>
                  <w:color w:val="#410a8c"/>
                  <w:u w:val="single"/>
                </w:rPr>
                <w:t xml:space="preserve">halshs-00743475v1</w:t>
              </w:r>
            </w:hyperlink>
          </w:p>
        </w:tc>
      </w:tr>
      <w:tr>
        <w:trPr/>
        <w:tc>
          <w:tcPr>
            <w:noWrap/>
          </w:tcPr>
          <w:p>
            <w:pPr>
              <w:spacing w:after="200"/>
            </w:pPr>
            <w:hyperlink r:id="rId46" w:history="1">
              <w:r>
                <w:rPr>
                  <w:color w:val="1e198e"/>
                  <w:b w:val="1"/>
                  <w:bCs w:val="1"/>
                  <w:u w:val="single"/>
                </w:rPr>
                <w:t xml:space="preserve">« Les échanges de cadeaux entre rois amorrites au XVIIIe siècle avant notre ère d’après les archives royales de Mari », Florilegium Marianum VI, SEPOA, 2002, p. 413-464</w:t>
              </w:r>
            </w:hyperlink>
          </w:p>
          <w:p>
            <w:pPr/>
            <w:hyperlink r:id="rId8" w:history="1">
              <w:r>
                <w:rPr>
                  <w:color w:val="#410a8c"/>
                  <w:u w:val="single"/>
                </w:rPr>
                <w:t xml:space="preserve">François Lerouxel</w:t>
              </w:r>
            </w:hyperlink>
          </w:p>
          <w:p>
            <w:pPr/>
            <w:r>
              <w:rPr>
                <w:i w:val="1"/>
                <w:iCs w:val="1"/>
              </w:rPr>
              <w:t xml:space="preserve">Florilegium Marianum VI, SEPOA, 2002.</w:t>
            </w:r>
            <w:r>
              <w:rPr/>
              <w:t xml:space="preserve">, 2002</w:t>
            </w:r>
          </w:p>
          <w:p>
            <w:pPr/>
            <w:r>
              <w:rPr/>
              <w:t xml:space="preserve">Chapitre d'ouvrage</w:t>
            </w:r>
          </w:p>
          <w:p>
            <w:pPr/>
            <w:hyperlink r:id="rId46" w:history="1">
              <w:r>
                <w:rPr>
                  <w:color w:val="#410a8c"/>
                  <w:u w:val="single"/>
                </w:rPr>
                <w:t xml:space="preserve">halshs-04048807v1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8532v1" TargetMode="External"/><Relationship Id="rId8" Type="http://schemas.openxmlformats.org/officeDocument/2006/relationships/hyperlink" Target="https://hal.science/search/index/?q=*&amp;authFullName_s=Fran&#231;ois Lerouxel" TargetMode="External"/><Relationship Id="rId9" Type="http://schemas.openxmlformats.org/officeDocument/2006/relationships/hyperlink" Target="https://shs.hal.science/halshs-04051676v1" TargetMode="External"/><Relationship Id="rId10" Type="http://schemas.openxmlformats.org/officeDocument/2006/relationships/hyperlink" Target="https://shs.hal.science/halshs-04048789v1" TargetMode="External"/><Relationship Id="rId11" Type="http://schemas.openxmlformats.org/officeDocument/2006/relationships/hyperlink" Target="https://shs.hal.science/halshs-04051680v1" TargetMode="External"/><Relationship Id="rId12" Type="http://schemas.openxmlformats.org/officeDocument/2006/relationships/hyperlink" Target="https://shs.hal.science/halshs-04051683v1" TargetMode="External"/><Relationship Id="rId13" Type="http://schemas.openxmlformats.org/officeDocument/2006/relationships/hyperlink" Target="https://hal.science/hal-01948402v1" TargetMode="External"/><Relationship Id="rId14" Type="http://schemas.openxmlformats.org/officeDocument/2006/relationships/hyperlink" Target="https://shs.hal.science/halshs-04034271v1" TargetMode="External"/><Relationship Id="rId15" Type="http://schemas.openxmlformats.org/officeDocument/2006/relationships/hyperlink" Target="https://dx.doi.org/10.1017/S0395264900009471" TargetMode="External"/><Relationship Id="rId16" Type="http://schemas.openxmlformats.org/officeDocument/2006/relationships/hyperlink" Target="https://shs.hal.science/halshs-04048803v1" TargetMode="External"/><Relationship Id="rId17" Type="http://schemas.openxmlformats.org/officeDocument/2006/relationships/hyperlink" Target="https://shs.hal.science/halshs-04051686v1" TargetMode="External"/><Relationship Id="rId18" Type="http://schemas.openxmlformats.org/officeDocument/2006/relationships/hyperlink" Target="https://shs.hal.science/halshs-04051690v1" TargetMode="External"/><Relationship Id="rId19" Type="http://schemas.openxmlformats.org/officeDocument/2006/relationships/hyperlink" Target="https://shs.hal.science/halshs-00783249v1" TargetMode="External"/><Relationship Id="rId20" Type="http://schemas.openxmlformats.org/officeDocument/2006/relationships/hyperlink" Target="https://hal.science/search/index/?q=*&amp;authFullName_s=Julien Zurbach" TargetMode="External"/><Relationship Id="rId21" Type="http://schemas.openxmlformats.org/officeDocument/2006/relationships/hyperlink" Target="https://shs.hal.science/halshs-04048769v1" TargetMode="External"/><Relationship Id="rId22" Type="http://schemas.openxmlformats.org/officeDocument/2006/relationships/hyperlink" Target="https://shs.hal.science/halshs-04034275v1" TargetMode="External"/><Relationship Id="rId23" Type="http://schemas.openxmlformats.org/officeDocument/2006/relationships/hyperlink" Target="https://hal.science/hal-04540283v1" TargetMode="External"/><Relationship Id="rId24" Type="http://schemas.openxmlformats.org/officeDocument/2006/relationships/hyperlink" Target="https://hal.science/search/index/?q=*&amp;authFullName_s=Anne-Val&#233;rie Pont" TargetMode="External"/><Relationship Id="rId25" Type="http://schemas.openxmlformats.org/officeDocument/2006/relationships/hyperlink" Target="https://shs.hal.science/halshs-04051673v1" TargetMode="External"/><Relationship Id="rId26" Type="http://schemas.openxmlformats.org/officeDocument/2006/relationships/hyperlink" Target="https://shs.hal.science/halshs-04048747v1" TargetMode="External"/><Relationship Id="rId27" Type="http://schemas.openxmlformats.org/officeDocument/2006/relationships/hyperlink" Target="https://shs.hal.science/halshs-04048744v1" TargetMode="External"/><Relationship Id="rId28" Type="http://schemas.openxmlformats.org/officeDocument/2006/relationships/hyperlink" Target="https://dx.doi.org/10.4000/books.efr.31320" TargetMode="External"/><Relationship Id="rId29" Type="http://schemas.openxmlformats.org/officeDocument/2006/relationships/hyperlink" Target="https://shs.hal.science/halshs-04048750v1" TargetMode="External"/><Relationship Id="rId30" Type="http://schemas.openxmlformats.org/officeDocument/2006/relationships/hyperlink" Target="https://shs.hal.science/halshs-01485401v1" TargetMode="External"/><Relationship Id="rId31" Type="http://schemas.openxmlformats.org/officeDocument/2006/relationships/hyperlink" Target="https://hal.science/search/index/?q=*&amp;authFullName_s=Catherine Apicella" TargetMode="External"/><Relationship Id="rId32" Type="http://schemas.openxmlformats.org/officeDocument/2006/relationships/hyperlink" Target="https://hal.science/search/index/?q=*&amp;authFullName_s=Marie-Laurence Haack" TargetMode="External"/><Relationship Id="rId33" Type="http://schemas.openxmlformats.org/officeDocument/2006/relationships/hyperlink" Target="https://shs.hal.science/halshs-04048753v1" TargetMode="External"/><Relationship Id="rId34" Type="http://schemas.openxmlformats.org/officeDocument/2006/relationships/hyperlink" Target="https://hal.science/hal-03092392v1" TargetMode="External"/><Relationship Id="rId35" Type="http://schemas.openxmlformats.org/officeDocument/2006/relationships/hyperlink" Target="https://hal.science/search/index/?q=*&amp;authFullName_s=Damien Agut-Labordere" TargetMode="External"/><Relationship Id="rId36" Type="http://schemas.openxmlformats.org/officeDocument/2006/relationships/hyperlink" Target="https://hal.science/search/index/?q=*&amp;authFullName_s=Charl&#232;ne Bouchaud" TargetMode="External"/><Relationship Id="rId37" Type="http://schemas.openxmlformats.org/officeDocument/2006/relationships/hyperlink" Target="https://hal.science/search/index/?q=*&amp;authFullName_s=Claire Newton" TargetMode="External"/><Relationship Id="rId38" Type="http://schemas.openxmlformats.org/officeDocument/2006/relationships/hyperlink" Target="https://shs.hal.science/halshs-04048762v1" TargetMode="External"/><Relationship Id="rId39" Type="http://schemas.openxmlformats.org/officeDocument/2006/relationships/hyperlink" Target="https://shs.hal.science/halshs-04048772v1" TargetMode="External"/><Relationship Id="rId40" Type="http://schemas.openxmlformats.org/officeDocument/2006/relationships/hyperlink" Target="https://shs.hal.science/halshs-04048786v1" TargetMode="External"/><Relationship Id="rId41" Type="http://schemas.openxmlformats.org/officeDocument/2006/relationships/hyperlink" Target="https://shs.hal.science/halshs-04048779v1" TargetMode="External"/><Relationship Id="rId42" Type="http://schemas.openxmlformats.org/officeDocument/2006/relationships/hyperlink" Target="https://shs.hal.science/halshs-04048793v1" TargetMode="External"/><Relationship Id="rId43" Type="http://schemas.openxmlformats.org/officeDocument/2006/relationships/hyperlink" Target="https://shs.hal.science/halshs-04048798v1" TargetMode="External"/><Relationship Id="rId44" Type="http://schemas.openxmlformats.org/officeDocument/2006/relationships/hyperlink" Target="https://shs.hal.science/halshs-04048813v1" TargetMode="External"/><Relationship Id="rId45" Type="http://schemas.openxmlformats.org/officeDocument/2006/relationships/hyperlink" Target="https://shs.hal.science/halshs-00743475v1" TargetMode="External"/><Relationship Id="rId46" Type="http://schemas.openxmlformats.org/officeDocument/2006/relationships/hyperlink" Target="https://shs.hal.science/halshs-04048807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Lerouxel</dc:title>
  <dc:description>CV</dc:description>
  <dc:subject/>
  <cp:keywords/>
  <cp:category/>
  <cp:lastModifiedBy/>
  <dcterms:created xsi:type="dcterms:W3CDTF">2026-03-15T12:57:21+01:00</dcterms:created>
  <dcterms:modified xsi:type="dcterms:W3CDTF">2026-03-15T12:57:21+01:00</dcterms:modified>
</cp:coreProperties>
</file>

<file path=docProps/custom.xml><?xml version="1.0" encoding="utf-8"?>
<Properties xmlns="http://schemas.openxmlformats.org/officeDocument/2006/custom-properties" xmlns:vt="http://schemas.openxmlformats.org/officeDocument/2006/docPropsVTypes"/>
</file>