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Ternat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et docteur en histoire, professeur à l’École supérieure du Professorat et de l’Éducation (ESPE) de l’université de Rouen ; membre du groupe de recherche d’histoire de l’université de Rouen (GRHis) ; membre de « </w:t>
      </w:r>
      <w:hyperlink r:id="rId8" w:history="1">
        <w:r>
          <w:rPr>
            <w:color w:val="#410a8c"/>
            <w:u w:val="single"/>
          </w:rPr>
          <w:t xml:space="preserve">Diplomatie et Paix</w:t>
        </w:r>
      </w:hyperlink>
      <w:r>
        <w:rPr/>
        <w:t xml:space="preserve"> », groupe de recherche d’histoire de la diplomatie et des relations internationales dans les mondes modernes, associant l’université Paris IV Sorbonne, l’université de Nantes et l’université de Bordeaux III.</w:t>
      </w:r>
    </w:p>
    <w:p>
      <w:pPr>
        <w:pStyle w:val="Heading4"/>
      </w:pPr>
    </w:p>
    <w:p>
      <w:pPr>
        <w:pStyle w:val="Heading4"/>
      </w:pPr>
      <w:r>
        <w:rPr/>
        <w:t xml:space="preserve">Enseignement</w:t>
      </w:r>
    </w:p>
    <w:p>
      <w:pPr/>
      <w:r>
        <w:rPr/>
        <w:t xml:space="preserve">ESPE : Master enseignement primaire, Master enseignement Histoire.</w:t>
      </w:r>
    </w:p>
    <w:p>
      <w:pPr>
        <w:pStyle w:val="Heading4"/>
      </w:pPr>
      <w:r>
        <w:rPr/>
        <w:t xml:space="preserve">Thèmes de recherche</w:t>
      </w:r>
    </w:p>
    <w:p>
      <w:pPr/>
      <w:r>
        <w:rPr/>
        <w:t xml:space="preserve">Agrégé d’histoire, j’ai d’abord suivi une formation de géographe, et j’ai été initié à la géopolitique par Yves Lacoste (DEA de géopolitique, </w:t>
      </w:r>
      <w:r>
        <w:rPr>
          <w:i w:val="1"/>
          <w:iCs w:val="1"/>
        </w:rPr>
        <w:t xml:space="preserve">La frontière vietnamo-cambodgienne. Représentations et stratégies</w:t>
      </w:r>
      <w:r>
        <w:rPr/>
        <w:t xml:space="preserve">, université Paris VIII, 1991). Je me suis ensuite converti dans l’histoire des relations internationales aux périodes moderne et contemporaine, m’intéressant tout particulièrement à leur volet colonial. Situés à la croisée de deux champs historiographiques, l’histoire de la diplomatie et celle des mondes coloniaux, mes travaux portent sur les rivalités impériales entre les grandes puissances européennes au xviiie siècle, en premier lieu la France et la Grande-Bretagne.</w:t>
      </w:r>
    </w:p>
    <w:p>
      <w:pPr/>
      <w:r>
        <w:rPr/>
        <w:t xml:space="preserve">La thèse que j’ai soutenue en 2009 à Paris IV Sorbonne sous la direction de Lucien Bély, </w:t>
      </w:r>
      <w:r>
        <w:rPr>
          <w:i w:val="1"/>
          <w:iCs w:val="1"/>
        </w:rPr>
        <w:t xml:space="preserve">Inscrire la paix dans les espaces lointains. Négociations franco-britanniques de la paix d’Aix-la-Chapelle à la guerre de Sept Ans, 1748-1756</w:t>
      </w:r>
      <w:r>
        <w:rPr/>
        <w:t xml:space="preserve"> (mention très honorable avec les félicitations du jury à l’unanimité), a proposé d’étudier, au milieu du siècle des Lumières, les pratiques diplomatiques et les réflexions sur le « droit des gens » élargi aux mondes extra-européens que les négociations menées pour délimiter les possessions coloniales respectives auront pu révéler. Il s’agissait de s’interroger sur les représentations et les visions géopolitiques du monde qui guidèrent, à la cour de Versailles comme à celle de Saint James, l’action diplomatique des négociateurs regardant désormais vers le grand large, véritable « négociation-monde » repoussant ses horizons aux plus lointains confins de l’Outre-mer.</w:t>
      </w:r>
    </w:p>
    <w:p>
      <w:pPr/>
      <w:r>
        <w:rPr/>
        <w:t xml:space="preserve">Dans le prolongement de cette recherche, je me suis dorénavant investi, dans une perspective d’histoire globale, dans l’étude de la « diplomatie du lointain » expérimentée au cours d’un long xviiie siècle par les cours européennes avec autant de « souverains du bout du monde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effets produits par la chute de Québec sur la stratégie française</w:t>
              </w:r>
            </w:hyperlink>
          </w:p>
          <w:p>
            <w:pPr/>
            <w:hyperlink r:id="rId10" w:history="1">
              <w:r>
                <w:rPr>
                  <w:color w:val="#410a8c"/>
                  <w:u w:val="single"/>
                </w:rPr>
                <w:t xml:space="preserve">François Ternat</w:t>
              </w:r>
            </w:hyperlink>
          </w:p>
          <w:p>
            <w:pPr/>
            <w:r>
              <w:rPr>
                <w:i w:val="1"/>
                <w:iCs w:val="1"/>
              </w:rPr>
              <w:t xml:space="preserve">Nouvelle-France, Histoire et patrimoine</w:t>
            </w:r>
            <w:r>
              <w:rPr/>
              <w:t xml:space="preserve">, 2019</w:t>
            </w:r>
          </w:p>
          <w:p>
            <w:pPr/>
            <w:r>
              <w:rPr/>
              <w:t xml:space="preserve">Article dans une revue</w:t>
            </w:r>
          </w:p>
          <w:p>
            <w:pPr/>
            <w:hyperlink r:id="rId9" w:history="1">
              <w:r>
                <w:rPr>
                  <w:color w:val="#410a8c"/>
                  <w:u w:val="single"/>
                </w:rPr>
                <w:t xml:space="preserve">hal-03288799v1</w:t>
              </w:r>
            </w:hyperlink>
          </w:p>
        </w:tc>
      </w:tr>
      <w:tr>
        <w:trPr/>
        <w:tc>
          <w:tcPr>
            <w:noWrap/>
          </w:tcPr>
          <w:p>
            <w:pPr>
              <w:spacing w:after="200"/>
            </w:pPr>
            <w:hyperlink r:id="rId11" w:history="1">
              <w:r>
                <w:rPr>
                  <w:color w:val="1e198e"/>
                  <w:b w:val="1"/>
                  <w:bCs w:val="1"/>
                  <w:u w:val="single"/>
                </w:rPr>
                <w:t xml:space="preserve">Die Politische Philosophie des Gabriel Bonnot de Mably (1709-1785). Eine Studie zur Geschichte des republikanischen und des sozialen Freiheitsbegriffs</w:t>
              </w:r>
            </w:hyperlink>
          </w:p>
          <w:p>
            <w:pPr/>
            <w:hyperlink r:id="rId10" w:history="1">
              <w:r>
                <w:rPr>
                  <w:color w:val="#410a8c"/>
                  <w:u w:val="single"/>
                </w:rPr>
                <w:t xml:space="preserve">François Ternat</w:t>
              </w:r>
            </w:hyperlink>
          </w:p>
          <w:p>
            <w:pPr/>
            <w:r>
              <w:rPr/>
              <w:t xml:space="preserve">2014</w:t>
            </w:r>
          </w:p>
          <w:p>
            <w:pPr/>
            <w:r>
              <w:rPr/>
              <w:t xml:space="preserve">Article dans une revue</w:t>
            </w:r>
            <w:r>
              <w:rPr/>
              <w:t xml:space="preserve"> (compte-rendu de lecture)</w:t>
            </w:r>
          </w:p>
          <w:p>
            <w:pPr/>
            <w:hyperlink r:id="rId11" w:history="1">
              <w:r>
                <w:rPr>
                  <w:color w:val="#410a8c"/>
                  <w:u w:val="single"/>
                </w:rPr>
                <w:t xml:space="preserve">hal-03347448v1</w:t>
              </w:r>
            </w:hyperlink>
          </w:p>
        </w:tc>
      </w:tr>
      <w:tr>
        <w:trPr/>
        <w:tc>
          <w:tcPr>
            <w:noWrap/>
          </w:tcPr>
          <w:p>
            <w:pPr>
              <w:spacing w:after="200"/>
            </w:pPr>
            <w:hyperlink r:id="rId12" w:history="1">
              <w:r>
                <w:rPr>
                  <w:color w:val="1e198e"/>
                  <w:b w:val="1"/>
                  <w:bCs w:val="1"/>
                  <w:u w:val="single"/>
                </w:rPr>
                <w:t xml:space="preserve">Des expériences de formation interdisciplinaire dans le domaine de l’éducation à l’environnement et au développement durable (EEDD)</w:t>
              </w:r>
            </w:hyperlink>
          </w:p>
          <w:p>
            <w:pPr/>
            <w:hyperlink r:id="rId10" w:history="1">
              <w:r>
                <w:rPr>
                  <w:color w:val="#410a8c"/>
                  <w:u w:val="single"/>
                </w:rPr>
                <w:t xml:space="preserve">François Ternat</w:t>
              </w:r>
            </w:hyperlink>
          </w:p>
          <w:p>
            <w:pPr/>
            <w:r>
              <w:rPr>
                <w:i w:val="1"/>
                <w:iCs w:val="1"/>
              </w:rPr>
              <w:t xml:space="preserve">Trames (revue de l'IUFM de Rouen)</w:t>
            </w:r>
            <w:r>
              <w:rPr/>
              <w:t xml:space="preserve">, 2004</w:t>
            </w:r>
          </w:p>
          <w:p>
            <w:pPr/>
            <w:r>
              <w:rPr/>
              <w:t xml:space="preserve">Article dans une revue</w:t>
            </w:r>
          </w:p>
          <w:p>
            <w:pPr/>
            <w:hyperlink r:id="rId12" w:history="1">
              <w:r>
                <w:rPr>
                  <w:color w:val="#410a8c"/>
                  <w:u w:val="single"/>
                </w:rPr>
                <w:t xml:space="preserve">hal-03286938v1</w:t>
              </w:r>
            </w:hyperlink>
          </w:p>
        </w:tc>
      </w:tr>
      <w:tr>
        <w:trPr/>
        <w:tc>
          <w:tcPr>
            <w:noWrap/>
          </w:tcPr>
          <w:p>
            <w:pPr>
              <w:spacing w:after="200"/>
            </w:pPr>
            <w:hyperlink r:id="rId13" w:history="1">
              <w:r>
                <w:rPr>
                  <w:color w:val="1e198e"/>
                  <w:b w:val="1"/>
                  <w:bCs w:val="1"/>
                  <w:u w:val="single"/>
                </w:rPr>
                <w:t xml:space="preserve">Géopolitique d’un fleuve : le Mékong, frontière et trait d’union</w:t>
              </w:r>
            </w:hyperlink>
          </w:p>
          <w:p>
            <w:pPr/>
            <w:hyperlink r:id="rId10" w:history="1">
              <w:r>
                <w:rPr>
                  <w:color w:val="#410a8c"/>
                  <w:u w:val="single"/>
                </w:rPr>
                <w:t xml:space="preserve">François Ternat</w:t>
              </w:r>
            </w:hyperlink>
          </w:p>
          <w:p>
            <w:pPr/>
            <w:r>
              <w:rPr>
                <w:i w:val="1"/>
                <w:iCs w:val="1"/>
              </w:rPr>
              <w:t xml:space="preserve">Trames (revue de l'IUFM de Rouen)</w:t>
            </w:r>
            <w:r>
              <w:rPr/>
              <w:t xml:space="preserve">, 2002</w:t>
            </w:r>
          </w:p>
          <w:p>
            <w:pPr/>
            <w:r>
              <w:rPr/>
              <w:t xml:space="preserve">Article dans une revue</w:t>
            </w:r>
          </w:p>
          <w:p>
            <w:pPr/>
            <w:hyperlink r:id="rId13" w:history="1">
              <w:r>
                <w:rPr>
                  <w:color w:val="#410a8c"/>
                  <w:u w:val="single"/>
                </w:rPr>
                <w:t xml:space="preserve">hal-03286934v1</w:t>
              </w:r>
            </w:hyperlink>
          </w:p>
        </w:tc>
      </w:tr>
      <w:tr>
        <w:trPr/>
        <w:tc>
          <w:tcPr>
            <w:noWrap/>
          </w:tcPr>
          <w:p>
            <w:pPr>
              <w:spacing w:after="200"/>
            </w:pPr>
            <w:hyperlink r:id="rId14" w:history="1">
              <w:r>
                <w:rPr>
                  <w:color w:val="1e198e"/>
                  <w:b w:val="1"/>
                  <w:bCs w:val="1"/>
                  <w:u w:val="single"/>
                </w:rPr>
                <w:t xml:space="preserve">La vie d’une école primaire pendant la Première Guerre mondiale : Saint-Léger-du-Bourg-Denis, 1914-1917</w:t>
              </w:r>
            </w:hyperlink>
          </w:p>
          <w:p>
            <w:pPr/>
            <w:hyperlink r:id="rId15" w:history="1">
              <w:r>
                <w:rPr>
                  <w:color w:val="#410a8c"/>
                  <w:u w:val="single"/>
                </w:rPr>
                <w:t xml:space="preserve">Jean-Claude Vimont</w:t>
              </w:r>
            </w:hyperlink>
            <w:r>
              <w:rPr/>
              <w:t xml:space="preserve">,</w:t>
            </w:r>
            <w:hyperlink r:id="rId10" w:history="1">
              <w:r>
                <w:rPr>
                  <w:color w:val="#410a8c"/>
                  <w:u w:val="single"/>
                </w:rPr>
                <w:t xml:space="preserve">François Ternat</w:t>
              </w:r>
            </w:hyperlink>
          </w:p>
          <w:p>
            <w:pPr/>
            <w:r>
              <w:rPr>
                <w:i w:val="1"/>
                <w:iCs w:val="1"/>
              </w:rPr>
              <w:t xml:space="preserve">Trames (revue de l'IUFM de Rouen)</w:t>
            </w:r>
            <w:r>
              <w:rPr/>
              <w:t xml:space="preserve">, 2000</w:t>
            </w:r>
          </w:p>
          <w:p>
            <w:pPr/>
            <w:r>
              <w:rPr/>
              <w:t xml:space="preserve">Article dans une revue</w:t>
            </w:r>
          </w:p>
          <w:p>
            <w:pPr/>
            <w:hyperlink r:id="rId14" w:history="1">
              <w:r>
                <w:rPr>
                  <w:color w:val="#410a8c"/>
                  <w:u w:val="single"/>
                </w:rPr>
                <w:t xml:space="preserve">hal-03286881v1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L’épistolière et le cuirassier. Récits de guerre, paroles d’amour 1914-1919</w:t>
              </w:r>
            </w:hyperlink>
          </w:p>
          <w:p>
            <w:pPr/>
            <w:hyperlink r:id="rId10" w:history="1">
              <w:r>
                <w:rPr>
                  <w:color w:val="#410a8c"/>
                  <w:u w:val="single"/>
                </w:rPr>
                <w:t xml:space="preserve">François Ternat</w:t>
              </w:r>
            </w:hyperlink>
          </w:p>
          <w:p>
            <w:pPr/>
            <w:r>
              <w:rPr/>
              <w:t xml:space="preserve">2021, 979-10-699-7478-8</w:t>
            </w:r>
          </w:p>
          <w:p>
            <w:pPr/>
            <w:r>
              <w:rPr/>
              <w:t xml:space="preserve">Ouvrages</w:t>
            </w:r>
          </w:p>
          <w:p>
            <w:pPr/>
            <w:hyperlink r:id="rId16" w:history="1">
              <w:r>
                <w:rPr>
                  <w:color w:val="#410a8c"/>
                  <w:u w:val="single"/>
                </w:rPr>
                <w:t xml:space="preserve">hal-03286842v1</w:t>
              </w:r>
            </w:hyperlink>
          </w:p>
        </w:tc>
      </w:tr>
      <w:tr>
        <w:trPr/>
        <w:tc>
          <w:tcPr>
            <w:noWrap/>
          </w:tcPr>
          <w:p>
            <w:pPr>
              <w:spacing w:after="200"/>
            </w:pPr>
            <w:hyperlink r:id="rId17" w:history="1">
              <w:r>
                <w:rPr>
                  <w:color w:val="1e198e"/>
                  <w:b w:val="1"/>
                  <w:bCs w:val="1"/>
                  <w:u w:val="single"/>
                </w:rPr>
                <w:t xml:space="preserve">Une diplomatie des lointains. La France face à la mondialisation des rivalités internationales, XVIIe-XVIIIe siècles</w:t>
              </w:r>
            </w:hyperlink>
          </w:p>
          <w:p>
            <w:pPr/>
            <w:hyperlink r:id="rId10" w:history="1">
              <w:r>
                <w:rPr>
                  <w:color w:val="#410a8c"/>
                  <w:u w:val="single"/>
                </w:rPr>
                <w:t xml:space="preserve">François Ternat</w:t>
              </w:r>
            </w:hyperlink>
            <w:r>
              <w:rPr/>
              <w:t xml:space="preserve">,</w:t>
            </w:r>
            <w:hyperlink r:id="rId18" w:history="1">
              <w:r>
                <w:rPr>
                  <w:color w:val="#410a8c"/>
                  <w:u w:val="single"/>
                </w:rPr>
                <w:t xml:space="preserve">Eric Schnakenbourg</w:t>
              </w:r>
            </w:hyperlink>
          </w:p>
          <w:p>
            <w:pPr/>
            <w:hyperlink r:id="rId19" w:history="1">
              <w:r>
                <w:rPr>
                  <w:color w:val="#410a8c"/>
                  <w:u w:val="single"/>
                </w:rPr>
                <w:t xml:space="preserve">Presses Universitaires de Rennes</w:t>
              </w:r>
            </w:hyperlink>
            <w:r>
              <w:rPr/>
              <w:t xml:space="preserve">, 396 p., 2020</w:t>
            </w:r>
          </w:p>
          <w:p>
            <w:pPr/>
            <w:r>
              <w:rPr/>
              <w:t xml:space="preserve">Ouvrages</w:t>
            </w:r>
          </w:p>
          <w:p>
            <w:pPr/>
            <w:hyperlink r:id="rId17" w:history="1">
              <w:r>
                <w:rPr>
                  <w:color w:val="#410a8c"/>
                  <w:u w:val="single"/>
                </w:rPr>
                <w:t xml:space="preserve">hal-03286861v1</w:t>
              </w:r>
            </w:hyperlink>
          </w:p>
        </w:tc>
      </w:tr>
      <w:tr>
        <w:trPr/>
        <w:tc>
          <w:tcPr>
            <w:noWrap/>
          </w:tcPr>
          <w:p>
            <w:pPr>
              <w:spacing w:after="200"/>
            </w:pPr>
            <w:hyperlink r:id="rId20" w:history="1">
              <w:r>
                <w:rPr>
                  <w:color w:val="1e198e"/>
                  <w:b w:val="1"/>
                  <w:bCs w:val="1"/>
                  <w:u w:val="single"/>
                </w:rPr>
                <w:t xml:space="preserve">Partager le monde. Rivalités impériales franco-britanniques, 1748-1756</w:t>
              </w:r>
            </w:hyperlink>
          </w:p>
          <w:p>
            <w:pPr/>
            <w:hyperlink r:id="rId10" w:history="1">
              <w:r>
                <w:rPr>
                  <w:color w:val="#410a8c"/>
                  <w:u w:val="single"/>
                </w:rPr>
                <w:t xml:space="preserve">François Ternat</w:t>
              </w:r>
            </w:hyperlink>
          </w:p>
          <w:p>
            <w:pPr/>
            <w:r>
              <w:rPr/>
              <w:t xml:space="preserve">2015</w:t>
            </w:r>
          </w:p>
          <w:p>
            <w:pPr/>
            <w:r>
              <w:rPr/>
              <w:t xml:space="preserve">Ouvrages</w:t>
            </w:r>
          </w:p>
          <w:p>
            <w:pPr/>
            <w:hyperlink r:id="rId20" w:history="1">
              <w:r>
                <w:rPr>
                  <w:color w:val="#410a8c"/>
                  <w:u w:val="single"/>
                </w:rPr>
                <w:t xml:space="preserve">hal-03286870v1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1748, Aix-la-Chapelle, une paix mondiale</w:t>
              </w:r>
            </w:hyperlink>
          </w:p>
          <w:p>
            <w:pPr/>
            <w:hyperlink r:id="rId10" w:history="1">
              <w:r>
                <w:rPr>
                  <w:color w:val="#410a8c"/>
                  <w:u w:val="single"/>
                </w:rPr>
                <w:t xml:space="preserve">François Ternat</w:t>
              </w:r>
            </w:hyperlink>
          </w:p>
          <w:p>
            <w:pPr/>
            <w:r>
              <w:rPr>
                <w:i w:val="1"/>
                <w:iCs w:val="1"/>
              </w:rPr>
              <w:t xml:space="preserve">Les Européens et la mondialisation, du XVe siècle à nos jours</w:t>
            </w:r>
            <w:r>
              <w:rPr/>
              <w:t xml:space="preserve">, A paraître</w:t>
            </w:r>
          </w:p>
          <w:p>
            <w:pPr/>
            <w:r>
              <w:rPr/>
              <w:t xml:space="preserve">Chapitre d'ouvrage</w:t>
            </w:r>
          </w:p>
          <w:p>
            <w:pPr/>
            <w:hyperlink r:id="rId21" w:history="1">
              <w:r>
                <w:rPr>
                  <w:color w:val="#410a8c"/>
                  <w:u w:val="single"/>
                </w:rPr>
                <w:t xml:space="preserve">hal-03347429v1</w:t>
              </w:r>
            </w:hyperlink>
          </w:p>
        </w:tc>
      </w:tr>
      <w:tr>
        <w:trPr/>
        <w:tc>
          <w:tcPr>
            <w:noWrap/>
          </w:tcPr>
          <w:p>
            <w:pPr>
              <w:spacing w:after="200"/>
            </w:pPr>
            <w:hyperlink r:id="rId22" w:history="1">
              <w:r>
                <w:rPr>
                  <w:color w:val="1e198e"/>
                  <w:b w:val="1"/>
                  <w:bCs w:val="1"/>
                  <w:u w:val="single"/>
                </w:rPr>
                <w:t xml:space="preserve">La persistance des questions coloniales d’Utrecht à Aix-la-Chapelle</w:t>
              </w:r>
            </w:hyperlink>
          </w:p>
          <w:p>
            <w:pPr/>
            <w:hyperlink r:id="rId10" w:history="1">
              <w:r>
                <w:rPr>
                  <w:color w:val="#410a8c"/>
                  <w:u w:val="single"/>
                </w:rPr>
                <w:t xml:space="preserve">François Ternat</w:t>
              </w:r>
            </w:hyperlink>
          </w:p>
          <w:p>
            <w:pPr/>
            <w:r>
              <w:rPr>
                <w:i w:val="1"/>
                <w:iCs w:val="1"/>
              </w:rPr>
              <w:t xml:space="preserve">La diplomatie-monde. Autour de la paix d'Utrecht - 1713</w:t>
            </w:r>
            <w:r>
              <w:rPr/>
              <w:t xml:space="preserve">, 2019</w:t>
            </w:r>
          </w:p>
          <w:p>
            <w:pPr/>
            <w:r>
              <w:rPr/>
              <w:t xml:space="preserve">Chapitre d'ouvrage</w:t>
            </w:r>
          </w:p>
          <w:p>
            <w:pPr/>
            <w:hyperlink r:id="rId22" w:history="1">
              <w:r>
                <w:rPr>
                  <w:color w:val="#410a8c"/>
                  <w:u w:val="single"/>
                </w:rPr>
                <w:t xml:space="preserve">hal-03286928v1</w:t>
              </w:r>
            </w:hyperlink>
          </w:p>
        </w:tc>
      </w:tr>
      <w:tr>
        <w:trPr/>
        <w:tc>
          <w:tcPr>
            <w:noWrap/>
          </w:tcPr>
          <w:p>
            <w:pPr>
              <w:spacing w:after="200"/>
            </w:pPr>
            <w:hyperlink r:id="rId23" w:history="1">
              <w:r>
                <w:rPr>
                  <w:color w:val="1e198e"/>
                  <w:b w:val="1"/>
                  <w:bCs w:val="1"/>
                  <w:u w:val="single"/>
                </w:rPr>
                <w:t xml:space="preserve">Des experts de la mer et de l’outremer : les négociations franco-britanniques après la paix d’Aix-la-Chapelle, 1749-1755</w:t>
              </w:r>
            </w:hyperlink>
          </w:p>
          <w:p>
            <w:pPr/>
            <w:hyperlink r:id="rId10" w:history="1">
              <w:r>
                <w:rPr>
                  <w:color w:val="#410a8c"/>
                  <w:u w:val="single"/>
                </w:rPr>
                <w:t xml:space="preserve">François Ternat</w:t>
              </w:r>
            </w:hyperlink>
          </w:p>
          <w:p>
            <w:pPr/>
            <w:r>
              <w:rPr>
                <w:i w:val="1"/>
                <w:iCs w:val="1"/>
              </w:rPr>
              <w:t xml:space="preserve">Experts et expertises en diplomatie : la mobilisation des compétences dans les relations internationales du congrès de Westphalie à la naissance de l’ONU</w:t>
            </w:r>
            <w:r>
              <w:rPr/>
              <w:t xml:space="preserve">, 2018</w:t>
            </w:r>
          </w:p>
          <w:p>
            <w:pPr/>
            <w:r>
              <w:rPr/>
              <w:t xml:space="preserve">Chapitre d'ouvrage</w:t>
            </w:r>
          </w:p>
          <w:p>
            <w:pPr/>
            <w:hyperlink r:id="rId23" w:history="1">
              <w:r>
                <w:rPr>
                  <w:color w:val="#410a8c"/>
                  <w:u w:val="single"/>
                </w:rPr>
                <w:t xml:space="preserve">hal-03286930v1</w:t>
              </w:r>
            </w:hyperlink>
          </w:p>
        </w:tc>
      </w:tr>
      <w:tr>
        <w:trPr/>
        <w:tc>
          <w:tcPr>
            <w:noWrap/>
          </w:tcPr>
          <w:p>
            <w:pPr>
              <w:spacing w:after="200"/>
            </w:pPr>
            <w:hyperlink r:id="rId24" w:history="1">
              <w:r>
                <w:rPr>
                  <w:color w:val="1e198e"/>
                  <w:b w:val="1"/>
                  <w:bCs w:val="1"/>
                  <w:u w:val="single"/>
                </w:rPr>
                <w:t xml:space="preserve">La commission franco-britannique de Paris (1750-1755), l’essai d’un règlement diplomatique des frontières coloniales</w:t>
              </w:r>
            </w:hyperlink>
          </w:p>
          <w:p>
            <w:pPr/>
            <w:hyperlink r:id="rId10" w:history="1">
              <w:r>
                <w:rPr>
                  <w:color w:val="#410a8c"/>
                  <w:u w:val="single"/>
                </w:rPr>
                <w:t xml:space="preserve">François Ternat</w:t>
              </w:r>
            </w:hyperlink>
          </w:p>
          <w:p>
            <w:pPr/>
            <w:r>
              <w:rPr>
                <w:i w:val="1"/>
                <w:iCs w:val="1"/>
              </w:rPr>
              <w:t xml:space="preserve">Thémis en diplomatie : l’argument juridique dans les relations internationales de l’Antiquité tardive à la fin du XVIIIe siècle</w:t>
            </w:r>
            <w:r>
              <w:rPr/>
              <w:t xml:space="preserve">, Presses Universitaires de Rennes, 2016, collection Histoire</w:t>
            </w:r>
          </w:p>
          <w:p>
            <w:pPr/>
            <w:r>
              <w:rPr/>
              <w:t xml:space="preserve">Chapitre d'ouvrage</w:t>
            </w:r>
          </w:p>
          <w:p>
            <w:pPr/>
            <w:hyperlink r:id="rId24" w:history="1">
              <w:r>
                <w:rPr>
                  <w:color w:val="#410a8c"/>
                  <w:u w:val="single"/>
                </w:rPr>
                <w:t xml:space="preserve">hal-03286926v1</w:t>
              </w:r>
            </w:hyperlink>
          </w:p>
        </w:tc>
      </w:tr>
      <w:tr>
        <w:trPr/>
        <w:tc>
          <w:tcPr>
            <w:noWrap/>
          </w:tcPr>
          <w:p>
            <w:pPr>
              <w:spacing w:after="200"/>
            </w:pPr>
            <w:hyperlink r:id="rId25" w:history="1">
              <w:r>
                <w:rPr>
                  <w:color w:val="1e198e"/>
                  <w:b w:val="1"/>
                  <w:bCs w:val="1"/>
                  <w:u w:val="single"/>
                </w:rPr>
                <w:t xml:space="preserve">Les enjeux géopolitiques des négociations d’un continent à l’autre entre 1760 et 1763</w:t>
              </w:r>
            </w:hyperlink>
          </w:p>
          <w:p>
            <w:pPr/>
            <w:hyperlink r:id="rId10" w:history="1">
              <w:r>
                <w:rPr>
                  <w:color w:val="#410a8c"/>
                  <w:u w:val="single"/>
                </w:rPr>
                <w:t xml:space="preserve">François Ternat</w:t>
              </w:r>
            </w:hyperlink>
          </w:p>
          <w:p>
            <w:pPr/>
            <w:r>
              <w:rPr>
                <w:i w:val="1"/>
                <w:iCs w:val="1"/>
              </w:rPr>
              <w:t xml:space="preserve">La Chute de la Nouvelle-France. De l’affaire Jumonville au traité de Paris</w:t>
            </w:r>
            <w:r>
              <w:rPr/>
              <w:t xml:space="preserve">, Septentrion, p. 227-248, 2015</w:t>
            </w:r>
          </w:p>
          <w:p>
            <w:pPr/>
            <w:r>
              <w:rPr/>
              <w:t xml:space="preserve">Chapitre d'ouvrage</w:t>
            </w:r>
          </w:p>
          <w:p>
            <w:pPr/>
            <w:hyperlink r:id="rId25" w:history="1">
              <w:r>
                <w:rPr>
                  <w:color w:val="#410a8c"/>
                  <w:u w:val="single"/>
                </w:rPr>
                <w:t xml:space="preserve">hal-03286921v1</w:t>
              </w:r>
            </w:hyperlink>
          </w:p>
        </w:tc>
      </w:tr>
      <w:tr>
        <w:trPr/>
        <w:tc>
          <w:tcPr>
            <w:noWrap/>
          </w:tcPr>
          <w:p>
            <w:pPr>
              <w:spacing w:after="200"/>
            </w:pPr>
            <w:hyperlink r:id="rId26" w:history="1">
              <w:r>
                <w:rPr>
                  <w:color w:val="1e198e"/>
                  <w:b w:val="1"/>
                  <w:bCs w:val="1"/>
                  <w:u w:val="single"/>
                </w:rPr>
                <w:t xml:space="preserve">La neutralisation de la frontière. Un essai de solution diplomatique en Amérique du Nord à la veille de la guerre de Sept Ans</w:t>
              </w:r>
            </w:hyperlink>
          </w:p>
          <w:p>
            <w:pPr/>
            <w:hyperlink r:id="rId10" w:history="1">
              <w:r>
                <w:rPr>
                  <w:color w:val="#410a8c"/>
                  <w:u w:val="single"/>
                </w:rPr>
                <w:t xml:space="preserve">François Ternat</w:t>
              </w:r>
            </w:hyperlink>
          </w:p>
          <w:p>
            <w:pPr/>
            <w:r>
              <w:rPr>
                <w:i w:val="1"/>
                <w:iCs w:val="1"/>
              </w:rPr>
              <w:t xml:space="preserve">Neutres et neutralité dans l’espace atlantique au xviiie siècle (1700-1820). Une approche globale</w:t>
            </w:r>
            <w:r>
              <w:rPr/>
              <w:t xml:space="preserve">, Bécherel, p. 379-404, 2015</w:t>
            </w:r>
          </w:p>
          <w:p>
            <w:pPr/>
            <w:r>
              <w:rPr/>
              <w:t xml:space="preserve">Chapitre d'ouvrage</w:t>
            </w:r>
          </w:p>
          <w:p>
            <w:pPr/>
            <w:hyperlink r:id="rId26" w:history="1">
              <w:r>
                <w:rPr>
                  <w:color w:val="#410a8c"/>
                  <w:u w:val="single"/>
                </w:rPr>
                <w:t xml:space="preserve">hal-03286923v1</w:t>
              </w:r>
            </w:hyperlink>
          </w:p>
        </w:tc>
      </w:tr>
      <w:tr>
        <w:trPr/>
        <w:tc>
          <w:tcPr>
            <w:noWrap/>
          </w:tcPr>
          <w:p>
            <w:pPr>
              <w:spacing w:after="200"/>
            </w:pPr>
            <w:hyperlink r:id="rId27" w:history="1">
              <w:r>
                <w:rPr>
                  <w:color w:val="1e198e"/>
                  <w:b w:val="1"/>
                  <w:bCs w:val="1"/>
                  <w:u w:val="single"/>
                </w:rPr>
                <w:t xml:space="preserve">L’autre bataille de Québec : sauver la Nouvelle-France par la négociation ?</w:t>
              </w:r>
            </w:hyperlink>
          </w:p>
          <w:p>
            <w:pPr/>
            <w:hyperlink r:id="rId10" w:history="1">
              <w:r>
                <w:rPr>
                  <w:color w:val="#410a8c"/>
                  <w:u w:val="single"/>
                </w:rPr>
                <w:t xml:space="preserve">François Ternat</w:t>
              </w:r>
            </w:hyperlink>
          </w:p>
          <w:p>
            <w:pPr/>
            <w:r>
              <w:rPr>
                <w:i w:val="1"/>
                <w:iCs w:val="1"/>
              </w:rPr>
              <w:t xml:space="preserve">La Guerre de Sept Ans en Nouvelle-France</w:t>
            </w:r>
            <w:r>
              <w:rPr/>
              <w:t xml:space="preserve">, PUPS, p. 71-91, 2012</w:t>
            </w:r>
          </w:p>
          <w:p>
            <w:pPr/>
            <w:r>
              <w:rPr/>
              <w:t xml:space="preserve">Chapitre d'ouvrage</w:t>
            </w:r>
          </w:p>
          <w:p>
            <w:pPr/>
            <w:hyperlink r:id="rId27" w:history="1">
              <w:r>
                <w:rPr>
                  <w:color w:val="#410a8c"/>
                  <w:u w:val="single"/>
                </w:rPr>
                <w:t xml:space="preserve">hal-03286877v1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diplomatieetpaix.com/doku.php?id=francois_ternat" TargetMode="External"/><Relationship Id="rId9" Type="http://schemas.openxmlformats.org/officeDocument/2006/relationships/hyperlink" Target="https://normandie-univ.hal.science/hal-03288799v1" TargetMode="External"/><Relationship Id="rId10" Type="http://schemas.openxmlformats.org/officeDocument/2006/relationships/hyperlink" Target="https://hal.science/search/index/?q=*&amp;authFullName_s=Fran&#231;ois Ternat" TargetMode="External"/><Relationship Id="rId11" Type="http://schemas.openxmlformats.org/officeDocument/2006/relationships/hyperlink" Target="https://normandie-univ.hal.science/hal-03347448v1" TargetMode="External"/><Relationship Id="rId12" Type="http://schemas.openxmlformats.org/officeDocument/2006/relationships/hyperlink" Target="https://normandie-univ.hal.science/hal-03286938v1" TargetMode="External"/><Relationship Id="rId13" Type="http://schemas.openxmlformats.org/officeDocument/2006/relationships/hyperlink" Target="https://normandie-univ.hal.science/hal-03286934v1" TargetMode="External"/><Relationship Id="rId14" Type="http://schemas.openxmlformats.org/officeDocument/2006/relationships/hyperlink" Target="https://normandie-univ.hal.science/hal-03286881v1" TargetMode="External"/><Relationship Id="rId15" Type="http://schemas.openxmlformats.org/officeDocument/2006/relationships/hyperlink" Target="https://hal.science/search/index/?q=*&amp;authFullName_s=Jean-Claude Vimont" TargetMode="External"/><Relationship Id="rId16" Type="http://schemas.openxmlformats.org/officeDocument/2006/relationships/hyperlink" Target="https://normandie-univ.hal.science/hal-03286842v1" TargetMode="External"/><Relationship Id="rId17" Type="http://schemas.openxmlformats.org/officeDocument/2006/relationships/hyperlink" Target="https://normandie-univ.hal.science/hal-03286861v1" TargetMode="External"/><Relationship Id="rId18" Type="http://schemas.openxmlformats.org/officeDocument/2006/relationships/hyperlink" Target="https://hal.science/search/index/?q=*&amp;authFullName_s=Eric Schnakenbourg" TargetMode="External"/><Relationship Id="rId19" Type="http://schemas.openxmlformats.org/officeDocument/2006/relationships/hyperlink" Target="http://www.pur-editions.fr/detail.php?idOuv=5040" TargetMode="External"/><Relationship Id="rId20" Type="http://schemas.openxmlformats.org/officeDocument/2006/relationships/hyperlink" Target="https://normandie-univ.hal.science/hal-03286870v1" TargetMode="External"/><Relationship Id="rId21" Type="http://schemas.openxmlformats.org/officeDocument/2006/relationships/hyperlink" Target="https://normandie-univ.hal.science/hal-03347429v1" TargetMode="External"/><Relationship Id="rId22" Type="http://schemas.openxmlformats.org/officeDocument/2006/relationships/hyperlink" Target="https://normandie-univ.hal.science/hal-03286928v1" TargetMode="External"/><Relationship Id="rId23" Type="http://schemas.openxmlformats.org/officeDocument/2006/relationships/hyperlink" Target="https://normandie-univ.hal.science/hal-03286930v1" TargetMode="External"/><Relationship Id="rId24" Type="http://schemas.openxmlformats.org/officeDocument/2006/relationships/hyperlink" Target="https://normandie-univ.hal.science/hal-03286926v1" TargetMode="External"/><Relationship Id="rId25" Type="http://schemas.openxmlformats.org/officeDocument/2006/relationships/hyperlink" Target="https://normandie-univ.hal.science/hal-03286921v1" TargetMode="External"/><Relationship Id="rId26" Type="http://schemas.openxmlformats.org/officeDocument/2006/relationships/hyperlink" Target="https://normandie-univ.hal.science/hal-03286923v1" TargetMode="External"/><Relationship Id="rId27" Type="http://schemas.openxmlformats.org/officeDocument/2006/relationships/hyperlink" Target="https://normandie-univ.hal.science/hal-0328687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Ternat</dc:title>
  <dc:description>CV</dc:description>
  <dc:subject/>
  <cp:keywords/>
  <cp:category/>
  <cp:lastModifiedBy/>
  <dcterms:created xsi:type="dcterms:W3CDTF">2026-05-15T10:04:23+02:00</dcterms:created>
  <dcterms:modified xsi:type="dcterms:W3CDTF">2026-05-15T10:04:23+02:00</dcterms:modified>
</cp:coreProperties>
</file>

<file path=docProps/custom.xml><?xml version="1.0" encoding="utf-8"?>
<Properties xmlns="http://schemas.openxmlformats.org/officeDocument/2006/custom-properties" xmlns:vt="http://schemas.openxmlformats.org/officeDocument/2006/docPropsVTypes"/>
</file>