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SPROGIS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Cothurne d'Alecton : la fureur dans la tragédie française (1553-1653)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Sprogis</w:t>
              </w:r>
            </w:hyperlink>
          </w:p>
          <w:p>
            <w:pPr/>
            <w:r>
              <w:rPr/>
              <w:t xml:space="preserve">Littératures. Sorbonne Universite, 2019.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2019SORUL041⟩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tel-04004731v1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tel-04004731v1" TargetMode="External"/><Relationship Id="rId8" Type="http://schemas.openxmlformats.org/officeDocument/2006/relationships/hyperlink" Target="https://hal.science/search/index/?q=*&amp;authFullName_s=Fr&#233;d&#233;ric Sprogis" TargetMode="External"/><Relationship Id="rId9" Type="http://schemas.openxmlformats.org/officeDocument/2006/relationships/hyperlink" Target="https://www.theses.fr/2019SORUL04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SPROGIS</dc:title>
  <dc:description>CV</dc:description>
  <dc:subject/>
  <cp:keywords/>
  <cp:category/>
  <cp:lastModifiedBy/>
  <dcterms:created xsi:type="dcterms:W3CDTF">2026-03-23T00:07:05+01:00</dcterms:created>
  <dcterms:modified xsi:type="dcterms:W3CDTF">2026-03-23T00:07:05+01:00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