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Lucien Grillet </w:t>
      </w:r>
      <w:r>
        <w:rPr>
          <w:color w:val="641e6e"/>
        </w:rPr>
        <w:t xml:space="preserve">Docteur en histoire ; Chercheur associé, laboratoire GRHis - Université Rouen-Normandie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dans le secondaire (Évreux - Normandie),Docteur en histoire depuis 2023 (directeur de recherche : Prof. Stéphane Haffemayer) ; vacataire à l'Université Rouen-Normandie (2018-2022).Chercheur associé au laboratoire de recherche en histoire GRHis depuis 2025.Recherches sur l'Écosse et les Îles britanniques aux XVI-XVII-XVIIIe siècles et sur les enjeux mémoriaux (XVI-XXe siècle, en particulier enjeux mémoriaux européens et en lien avec la Seconde Guerre mondiale).Président de l'association &amp;quot;Histoire partagée, mémoires partagées&amp;quot; (depuis 2025).Membre du Comité international de Mautahusen et du bureau de l'Amicale de Mauthausen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Grillet</dc:title>
  <dc:description>CV</dc:description>
  <dc:subject/>
  <cp:keywords/>
  <cp:category/>
  <cp:lastModifiedBy/>
  <dcterms:created xsi:type="dcterms:W3CDTF">2026-04-15T14:18:50+02:00</dcterms:created>
  <dcterms:modified xsi:type="dcterms:W3CDTF">2026-04-15T14:18:50+02:00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