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Guida Andrea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bruits digitaux. Dans les campagnes italiennes, un printemps noir choisit son destin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Guida Andrea</w:t>
              </w:r>
            </w:hyperlink>
          </w:p>
          <w:p>
            <w:pPr/>
            <w:r>
              <w:rPr/>
              <w:t xml:space="preserve">Jedlowski Alessandro; Smith Etienne. </w:t>
            </w:r>
            <w:r>
              <w:rPr>
                <w:i w:val="1"/>
                <w:iCs w:val="1"/>
              </w:rPr>
              <w:t xml:space="preserve">Les Toiles du politique. Médias sociaux, activisme et entrepreneuriat des diasporas africaines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2025, Collection Les Afriques, 978-2-38409-270-3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hal-05490996v1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996v1" TargetMode="External"/><Relationship Id="rId8" Type="http://schemas.openxmlformats.org/officeDocument/2006/relationships/hyperlink" Target="https://hal.science/search/index/?q=*&amp;authFullName_s=Guida Andrea" TargetMode="External"/><Relationship Id="rId9" Type="http://schemas.openxmlformats.org/officeDocument/2006/relationships/hyperlink" Target="https://www.karthala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Guida Andrea</dc:title>
  <dc:description>CV</dc:description>
  <dc:subject/>
  <cp:keywords/>
  <cp:category/>
  <cp:lastModifiedBy/>
  <dcterms:created xsi:type="dcterms:W3CDTF">2026-04-15T22:13:31+02:00</dcterms:created>
  <dcterms:modified xsi:type="dcterms:W3CDTF">2026-04-15T22:13:31+02:00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