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GUILLAUME DECAUWERT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 Examen de la pertinence du concept de voie négative pour l’interprétation du Tractatus de Wittgenstein », Processus créateur et voies négatives, Colloque international. 9, 10, 11 mars 2022. Université de Toulouse II Jean Jaurès.</w:t></w:r></w:hyperlink></w:p><w:p><w:pPr/><w:hyperlink r:id="rId8" w:history="1"><w:r><w:rPr><w:color w:val="#410a8c"/><w:u w:val="single"/></w:rPr><w:t xml:space="preserve">Guillaume Decauwert</w:t></w:r></w:hyperlink></w:p><w:p><w:pPr/><w:r><w:rPr><w:i w:val="1"/><w:iCs w:val="1"/></w:rPr><w:t xml:space="preserve">Processus créateur et voies négatives</w:t></w:r><w:r><w:rPr/><w:t xml:space="preserve">, Mar 2022, Toulouse, France</w:t></w:r></w:p><w:p><w:pPr/><w:r><w:rPr/><w:t xml:space="preserve">Communication dans un congrès</w:t></w:r></w:p><w:p><w:pPr/><w:hyperlink r:id="rId7" w:history="1"><w:r><w:rPr><w:color w:val="#410a8c"/><w:u w:val="single"/></w:rPr><w:t xml:space="preserve">hal-03527264v1</w:t></w:r></w:hyperlink></w:p></w:tc></w:tr><w:tr><w:trPr/><w:tc><w:tcPr><w:noWrap/></w:tcPr><w:p><w:pPr><w:spacing w:after="200"/></w:pPr><w:hyperlink r:id="rId9" w:history="1"><w:r><w:rPr><w:color w:val="1e198e"/><w:b w:val="1"/><w:bCs w:val="1"/><w:u w:val="single"/></w:rPr><w:t xml:space="preserve">Aspects du concept de monde dans le Tractatus</w:t></w:r></w:hyperlink></w:p><w:p><w:pPr/><w:hyperlink r:id="rId8" w:history="1"><w:r><w:rPr><w:color w:val="#410a8c"/><w:u w:val="single"/></w:rPr><w:t xml:space="preserve">Guillaume Decauwert</w:t></w:r></w:hyperlink></w:p><w:p><w:pPr/><w:r><w:rPr><w:i w:val="1"/><w:iCs w:val="1"/></w:rPr><w:t xml:space="preserve">Interpréter le Tractatus : thèmes, problèmes &amp; enjeux de la première philosophie de Wittgenstein</w:t></w:r><w:r><w:rPr/><w:t xml:space="preserve">, Feb 2022, Grenoble, France</w:t></w:r></w:p><w:p><w:pPr/><w:r><w:rPr/><w:t xml:space="preserve">Communication dans un congrès</w:t></w:r></w:p><w:p><w:pPr/><w:hyperlink r:id="rId9" w:history="1"><w:r><w:rPr><w:color w:val="#410a8c"/><w:u w:val="single"/></w:rPr><w:t xml:space="preserve">hal-03527265v1</w:t></w:r></w:hyperlink></w:p></w:tc></w:tr><w:tr><w:trPr/><w:tc><w:tcPr><w:noWrap/></w:tcPr><w:p><w:pPr><w:spacing w:after="200"/></w:pPr><w:hyperlink r:id="rId10" w:history="1"><w:r><w:rPr><w:color w:val="1e198e"/><w:b w:val="1"/><w:bCs w:val="1"/><w:u w:val="single"/></w:rPr><w:t xml:space="preserve">« Wittgenstein’s Ideal of Clarity in the Tractatus », Centenário da publicação do Tractatus Logico-Philosophicus de Ludwig Wittgenstein, XIII Philosophy Colloquium of the State University of Paraná, Universidade Estadual do Paraná, 8-11 novembre 2021 (en visioconférence, après évaluation de résumé en double aveugle).</w:t></w:r></w:hyperlink></w:p><w:p><w:pPr/><w:hyperlink r:id="rId8" w:history="1"><w:r><w:rPr><w:color w:val="#410a8c"/><w:u w:val="single"/></w:rPr><w:t xml:space="preserve">Guillaume Decauwert</w:t></w:r></w:hyperlink></w:p><w:p><w:pPr/><w:r><w:rPr><w:i w:val="1"/><w:iCs w:val="1"/></w:rPr><w:t xml:space="preserve">Centenário da publicação do Tractatus Logico-Philosophicus de Ludwig Wittgenstein, XIII Philosophy Colloquium of the State University of Paraná</w:t></w:r><w:r><w:rPr/><w:t xml:space="preserve">, Nov 2021, Paranavaí, Brazil</w:t></w:r></w:p><w:p><w:pPr/><w:r><w:rPr/><w:t xml:space="preserve">Communication dans un congrès</w:t></w:r></w:p><w:p><w:pPr/><w:hyperlink r:id="rId10" w:history="1"><w:r><w:rPr><w:color w:val="#410a8c"/><w:u w:val="single"/></w:rPr><w:t xml:space="preserve">hal-03527268v1</w:t></w:r></w:hyperlink></w:p></w:tc></w:tr><w:tr><w:trPr/><w:tc><w:tcPr><w:noWrap/></w:tcPr><w:p><w:pPr><w:spacing w:after="200"/></w:pPr><w:hyperlink r:id="rId11" w:history="1"><w:r><w:rPr><w:color w:val="1e198e"/><w:b w:val="1"/><w:bCs w:val="1"/><w:u w:val="single"/></w:rPr><w:t xml:space="preserve">Monstration et exemplification. Les paradoxes de l’identité de l’image dans la première philosophie de Wittgenstein</w:t></w:r></w:hyperlink></w:p><w:p><w:pPr/><w:hyperlink r:id="rId8" w:history="1"><w:r><w:rPr><w:color w:val="#410a8c"/><w:u w:val="single"/></w:rPr><w:t xml:space="preserve">Guillaume Decauwert</w:t></w:r></w:hyperlink></w:p><w:p><w:pPr/><w:r><w:rPr><w:i w:val="1"/><w:iCs w:val="1"/></w:rPr><w:t xml:space="preserve">Exemples d’images. Réflexion sur l’exemplarité des images</w:t></w:r><w:r><w:rPr/><w:t xml:space="preserve">, Catherine Allamel-Raffin (AHP-PReST), Alexis Anne-Braun, Sarah Calba, Archives Henri Poincaré, Sep 2021, Strasbourg, France</w:t></w:r></w:p><w:p><w:pPr/><w:r><w:rPr/><w:t xml:space="preserve">Communication dans un congrès</w:t></w:r></w:p><w:p><w:pPr/><w:hyperlink r:id="rId11" w:history="1"><w:r><w:rPr><w:color w:val="#410a8c"/><w:u w:val="single"/></w:rPr><w:t xml:space="preserve">hal-03527270v1</w:t></w:r></w:hyperlink></w:p></w:tc></w:tr><w:tr><w:trPr/><w:tc><w:tcPr><w:noWrap/></w:tcPr><w:p><w:pPr><w:spacing w:after="200"/></w:pPr><w:hyperlink r:id="rId12" w:history="1"><w:r><w:rPr><w:color w:val="1e198e"/><w:b w:val="1"/><w:bCs w:val="1"/><w:u w:val="single"/></w:rPr><w:t xml:space="preserve">2021. « Philosophical Clarity, Negation and Ineffability. A Dialogue between Wittgenstein and Schopenhauer? », Workshop Wittgenstein and Classical German Philosophy, Université de Varsovie, du 1er au 3 septembre 2021 (en présentiel, après évaluation de résumé en double aveugle).</w:t></w:r></w:hyperlink></w:p><w:p><w:pPr/><w:hyperlink r:id="rId8" w:history="1"><w:r><w:rPr><w:color w:val="#410a8c"/><w:u w:val="single"/></w:rPr><w:t xml:space="preserve">Guillaume Decauwert</w:t></w:r></w:hyperlink></w:p><w:p><w:pPr/><w:r><w:rPr><w:i w:val="1"/><w:iCs w:val="1"/></w:rPr><w:t xml:space="preserve">Workshop Wittgenstein and Classical German Philosophy</w:t></w:r><w:r><w:rPr/><w:t xml:space="preserve">, Sep 2021, Varsovie, Poland</w:t></w:r></w:p><w:p><w:pPr/><w:r><w:rPr/><w:t xml:space="preserve">Communication dans un congrès</w:t></w:r></w:p><w:p><w:pPr/><w:hyperlink r:id="rId12" w:history="1"><w:r><w:rPr><w:color w:val="#410a8c"/><w:u w:val="single"/></w:rPr><w:t xml:space="preserve">hal-03527272v1</w:t></w:r></w:hyperlink></w:p></w:tc></w:tr><w:tr><w:trPr/><w:tc><w:tcPr><w:noWrap/></w:tcPr><w:p><w:pPr><w:spacing w:after="200"/></w:pPr><w:hyperlink r:id="rId13" w:history="1"><w:r><w:rPr><w:color w:val="1e198e"/><w:b w:val="1"/><w:bCs w:val="1"/><w:u w:val="single"/></w:rPr><w:t xml:space="preserve">Sub specie æternitatis: From Spinoza to Wittgenstein</w:t></w:r></w:hyperlink></w:p><w:p><w:pPr/><w:hyperlink r:id="rId8" w:history="1"><w:r><w:rPr><w:color w:val="#410a8c"/><w:u w:val="single"/></w:rPr><w:t xml:space="preserve">Guillaume Decauwert</w:t></w:r></w:hyperlink></w:p><w:p><w:pPr/><w:r><w:rPr><w:i w:val="1"/><w:iCs w:val="1"/></w:rPr><w:t xml:space="preserve">International Ludwig Wittgenstein Symposium</w:t></w:r><w:r><w:rPr/><w:t xml:space="preserve">, Faculty of Philosophy and Religious Studies, Zagreb, Croatie, Dec 2021, Zagreb, Croatia</w:t></w:r></w:p><w:p><w:pPr/><w:r><w:rPr/><w:t xml:space="preserve">Communication dans un congrès</w:t></w:r></w:p><w:p><w:pPr/><w:hyperlink r:id="rId13" w:history="1"><w:r><w:rPr><w:color w:val="#410a8c"/><w:u w:val="single"/></w:rPr><w:t xml:space="preserve">hal-03527266v1</w:t></w:r></w:hyperlink></w:p></w:tc></w:tr><w:tr><w:trPr/><w:tc><w:tcPr><w:noWrap/></w:tcPr><w:p><w:pPr><w:spacing w:after="200"/></w:pPr><w:hyperlink r:id="rId14" w:history="1"><w:r><w:rPr><w:color w:val="1e198e"/><w:b w:val="1"/><w:bCs w:val="1"/><w:u w:val="single"/></w:rPr><w:t xml:space="preserve">« Saying and Showing: The Single Solution of all the ‘‘Problems of Philosophy’’ according to the Tractatus », Wittgenstein Workshop, Université d’East Anglia (UEA), Norwich, 02 mai 2012 (en présentiel, invitation d’Oskari Kuusela et Rupert Read).</w:t></w:r></w:hyperlink></w:p><w:p><w:pPr/><w:hyperlink r:id="rId8" w:history="1"><w:r><w:rPr><w:color w:val="#410a8c"/><w:u w:val="single"/></w:rPr><w:t xml:space="preserve">Guillaume Decauwert</w:t></w:r></w:hyperlink></w:p><w:p><w:pPr/><w:r><w:rPr><w:i w:val="1"/><w:iCs w:val="1"/></w:rPr><w:t xml:space="preserve">Wittgenstein Workshop, Université d’East Anglia (UEA), Norwich</w:t></w:r><w:r><w:rPr/><w:t xml:space="preserve">, May 2012, Norwich, United Kingdom</w:t></w:r></w:p><w:p><w:pPr/><w:r><w:rPr/><w:t xml:space="preserve">Communication dans un congrès</w:t></w:r></w:p><w:p><w:pPr/><w:hyperlink r:id="rId14" w:history="1"><w:r><w:rPr><w:color w:val="#410a8c"/><w:u w:val="single"/></w:rPr><w:t xml:space="preserve">hal-03527273v1</w:t></w:r></w:hyperlink></w:p></w:tc></w:tr><w:tr><w:trPr/><w:tc><w:tcPr><w:noWrap/></w:tcPr><w:p><w:pPr><w:spacing w:after="200"/></w:pPr><w:hyperlink r:id="rId15" w:history="1"><w:r><w:rPr><w:color w:val="1e198e"/><w:b w:val="1"/><w:bCs w:val="1"/><w:u w:val="single"/></w:rPr><w:t xml:space="preserve">« Le discours du logicien chez Frege et Wittgenstein, entre science et philosophie », colloque Repenser les rapports entre science(s) et philosophie, Université Pierre-Mendès- France, 6-7 juin 2011, org. Anna Zielinska et Marion Renauld.</w:t></w:r></w:hyperlink></w:p><w:p><w:pPr/><w:hyperlink r:id="rId8" w:history="1"><w:r><w:rPr><w:color w:val="#410a8c"/><w:u w:val="single"/></w:rPr><w:t xml:space="preserve">Guillaume Decauwert</w:t></w:r></w:hyperlink></w:p><w:p><w:pPr/><w:r><w:rPr><w:i w:val="1"/><w:iCs w:val="1"/></w:rPr><w:t xml:space="preserve">Repenser les rapports entre science(s) et philosophie, Université Pierre-Mendès- France</w:t></w:r><w:r><w:rPr/><w:t xml:space="preserve">, Jun 2011, Grenoble, France</w:t></w:r></w:p><w:p><w:pPr/><w:r><w:rPr/><w:t xml:space="preserve">Communication dans un congrès</w:t></w:r></w:p><w:p><w:pPr/><w:hyperlink r:id="rId15" w:history="1"><w:r><w:rPr><w:color w:val="#410a8c"/><w:u w:val="single"/></w:rPr><w:t xml:space="preserve">hal-03527274v1</w:t></w:r></w:hyperlink></w:p></w:tc></w:tr><w:tr><w:trPr/><w:tc><w:tcPr><w:noWrap/></w:tcPr><w:p><w:pPr><w:spacing w:after="200"/></w:pPr><w:hyperlink r:id="rId16" w:history="1"><w:r><w:rPr><w:color w:val="1e198e"/><w:b w:val="1"/><w:bCs w:val="1"/><w:u w:val="single"/></w:rPr><w:t xml:space="preserve">Entre sens et non-sens. L’usage, une détermination de la monstration dans le Tractatus de Wittgenstein</w:t></w:r></w:hyperlink></w:p><w:p><w:pPr/><w:hyperlink r:id="rId8" w:history="1"><w:r><w:rPr><w:color w:val="#410a8c"/><w:u w:val="single"/></w:rPr><w:t xml:space="preserve">Guillaume Decauwert</w:t></w:r></w:hyperlink></w:p><w:p><w:pPr/><w:r><w:rPr><w:i w:val="1"/><w:iCs w:val="1"/></w:rPr><w:t xml:space="preserve">Langage comme action/action par le langage, Université Pierre- Mendès-France</w:t></w:r><w:r><w:rPr/><w:t xml:space="preserve">, Anna Krol, Apr 2011, Grenoble, France</w:t></w:r></w:p><w:p><w:pPr/><w:r><w:rPr/><w:t xml:space="preserve">Communication dans un congrès</w:t></w:r></w:p><w:p><w:pPr/><w:hyperlink r:id="rId16" w:history="1"><w:r><w:rPr><w:color w:val="#410a8c"/><w:u w:val="single"/></w:rPr><w:t xml:space="preserve">hal-03527275v1</w:t></w:r></w:hyperlink></w:p></w:tc></w:tr></w:tbl><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Du positivisme logique à une poétique de l’ineffable. Situation de quelques textes d’Ingeborg Bachmann dans l’histoire des interprétations du Tractatus logico-philosophicus</w:t></w:r></w:hyperlink></w:p><w:p><w:pPr/><w:hyperlink r:id="rId8" w:history="1"><w:r><w:rPr><w:color w:val="#410a8c"/><w:u w:val="single"/></w:rPr><w:t xml:space="preserve">Guillaume Decauwert</w:t></w:r></w:hyperlink></w:p><w:p><w:pPr/><w:r><w:rPr><w:i w:val="1"/><w:iCs w:val="1"/></w:rPr><w:t xml:space="preserve">SCENARI</w:t></w:r><w:r><w:rPr/><w:t xml:space="preserve">, 2022, 16, </w:t></w:r><w:hyperlink r:id="rId18" w:history="1"><w:r><w:rPr><w:color w:val="#410a8c"/><w:u w:val="single"/></w:rPr><w:t xml:space="preserve">⟨10.7413/24208914110⟩</w:t></w:r></w:hyperlink></w:p><w:p><w:pPr/><w:r><w:rPr/><w:t xml:space="preserve">Article dans une revue</w:t></w:r></w:p><w:p><w:pPr/><w:hyperlink r:id="rId17" w:history="1"><w:r><w:rPr><w:color w:val="#410a8c"/><w:u w:val="single"/></w:rPr><w:t xml:space="preserve">hal-03581549v1</w:t></w:r></w:hyperlink></w:p></w:tc></w:tr><w:tr><w:trPr/><w:tc><w:tcPr><w:noWrap/></w:tcPr><w:p><w:pPr><w:spacing w:after="200"/></w:pPr><w:hyperlink r:id="rId19" w:history="1"><w:r><w:rPr><w:color w:val="1e198e"/><w:b w:val="1"/><w:bCs w:val="1"/><w:u w:val="single"/></w:rPr><w:t xml:space="preserve">What does Wittgenstein Mean by ‘Clarity’ in the Tractatus?</w:t></w:r></w:hyperlink></w:p><w:p><w:pPr/><w:hyperlink r:id="rId8" w:history="1"><w:r><w:rPr><w:color w:val="#410a8c"/><w:u w:val="single"/></w:rPr><w:t xml:space="preserve">Guillaume Decauwert</w:t></w:r></w:hyperlink></w:p><w:p><w:pPr/><w:r><w:rPr><w:i w:val="1"/><w:iCs w:val="1"/></w:rPr><w:t xml:space="preserve">Al-Mukhatabat. Trilingual Journal for Logic, Epistemology and Analytic Philosophy</w:t></w:r><w:r><w:rPr/><w:t xml:space="preserve">, 2021, 40</w:t></w:r></w:p><w:p><w:pPr/><w:r><w:rPr/><w:t xml:space="preserve">Article dans une revue</w:t></w:r></w:p><w:p><w:pPr/><w:hyperlink r:id="rId19" w:history="1"><w:r><w:rPr><w:color w:val="#410a8c"/><w:u w:val="single"/></w:rPr><w:t xml:space="preserve">hal-03527233v1</w:t></w:r></w:hyperlink></w:p></w:tc></w:tr><w:tr><w:trPr/><w:tc><w:tcPr><w:noWrap/></w:tcPr><w:p><w:pPr><w:spacing w:after="200"/></w:pPr><w:hyperlink r:id="rId20" w:history="1"><w:r><w:rPr><w:color w:val="1e198e"/><w:b w:val="1"/><w:bCs w:val="1"/><w:u w:val="single"/></w:rPr><w:t xml:space="preserve">« L’influence de Frege sur le premier Wittgenstein est-elle une clef pour l’interprétation du Tractatus logico-philosophicus ? »</w:t></w:r></w:hyperlink></w:p><w:p><w:pPr/><w:hyperlink r:id="rId8" w:history="1"><w:r><w:rPr><w:color w:val="#410a8c"/><w:u w:val="single"/></w:rPr><w:t xml:space="preserve">Guillaume Decauwert</w:t></w:r></w:hyperlink></w:p><w:p><w:pPr/><w:r><w:rPr><w:i w:val="1"/><w:iCs w:val="1"/></w:rPr><w:t xml:space="preserve">Al-Mukhatabat. Trilingual Journal for Logic, Epistemology and Analytic Philosophy</w:t></w:r><w:r><w:rPr/><w:t xml:space="preserve">, 2016</w:t></w:r></w:p><w:p><w:pPr/><w:r><w:rPr/><w:t xml:space="preserve">Article dans une revue</w:t></w:r></w:p><w:p><w:pPr/><w:hyperlink r:id="rId20" w:history="1"><w:r><w:rPr><w:color w:val="#410a8c"/><w:u w:val="single"/></w:rPr><w:t xml:space="preserve">hal-03527235v1</w:t></w:r></w:hyperlink></w:p></w:tc></w:tr><w:tr><w:trPr/><w:tc><w:tcPr><w:noWrap/></w:tcPr><w:p><w:pPr><w:spacing w:after="200"/></w:pPr><w:hyperlink r:id="rId21" w:history="1"><w:r><w:rPr><w:color w:val="1e198e"/><w:b w:val="1"/><w:bCs w:val="1"/><w:u w:val="single"/></w:rPr><w:t xml:space="preserve">« L’usage, une détermination de la monstration dans le Tractatus de Wittgenstein »</w:t></w:r></w:hyperlink></w:p><w:p><w:pPr/><w:hyperlink r:id="rId8" w:history="1"><w:r><w:rPr><w:color w:val="#410a8c"/><w:u w:val="single"/></w:rPr><w:t xml:space="preserve">Guillaume Decauwert</w:t></w:r></w:hyperlink></w:p><w:p><w:pPr/><w:r><w:rPr><w:i w:val="1"/><w:iCs w:val="1"/></w:rPr><w:t xml:space="preserve">Recherches sur la philosophie et le langage</w:t></w:r><w:r><w:rPr/><w:t xml:space="preserve">, 2015</w:t></w:r></w:p><w:p><w:pPr/><w:r><w:rPr/><w:t xml:space="preserve">Article dans une revue</w:t></w:r></w:p><w:p><w:pPr/><w:hyperlink r:id="rId21" w:history="1"><w:r><w:rPr><w:color w:val="#410a8c"/><w:u w:val="single"/></w:rPr><w:t xml:space="preserve">hal-03527236v1</w:t></w:r></w:hyperlink></w:p></w:tc></w:tr><w:tr><w:trPr/><w:tc><w:tcPr><w:noWrap/></w:tcPr><w:p><w:pPr><w:spacing w:after="200"/></w:pPr><w:hyperlink r:id="rId22" w:history="1"><w:r><w:rPr><w:color w:val="1e198e"/><w:b w:val="1"/><w:bCs w:val="1"/><w:u w:val="single"/></w:rPr><w:t xml:space="preserve">« Forme et origines de la distinction entre dire et montrer : une hypothèse pour l’interprétation du Tractatus logico-philosophicus »</w:t></w:r></w:hyperlink></w:p><w:p><w:pPr/><w:hyperlink r:id="rId8" w:history="1"><w:r><w:rPr><w:color w:val="#410a8c"/><w:u w:val="single"/></w:rPr><w:t xml:space="preserve">Guillaume Decauwert</w:t></w:r></w:hyperlink></w:p><w:p><w:pPr/><w:r><w:rPr><w:i w:val="1"/><w:iCs w:val="1"/></w:rPr><w:t xml:space="preserve">Al-Mukhatabat. Trilingual Journal for Logic, Epistemology and Analytic Philosophy</w:t></w:r><w:r><w:rPr/><w:t xml:space="preserve">, 2014, p. 250-263</w:t></w:r></w:p><w:p><w:pPr/><w:r><w:rPr/><w:t xml:space="preserve">Article dans une revue</w:t></w:r></w:p><w:p><w:pPr/><w:hyperlink r:id="rId22" w:history="1"><w:r><w:rPr><w:color w:val="#410a8c"/><w:u w:val="single"/></w:rPr><w:t xml:space="preserve">hal-03358647v1</w:t></w:r></w:hyperlink></w:p></w:tc></w:tr><w:tr><w:trPr/><w:tc><w:tcPr><w:noWrap/></w:tcPr><w:p><w:pPr><w:spacing w:after="200"/></w:pPr><w:hyperlink r:id="rId23" w:history="1"><w:r><w:rPr><w:color w:val="1e198e"/><w:b w:val="1"/><w:bCs w:val="1"/><w:u w:val="single"/></w:rPr><w:t xml:space="preserve">« Saying and Showing: The Single Solution of all the ‘‘Problems of Philosophy’’ according to the Tractatus »</w:t></w:r></w:hyperlink></w:p><w:p><w:pPr/><w:hyperlink r:id="rId8" w:history="1"><w:r><w:rPr><w:color w:val="#410a8c"/><w:u w:val="single"/></w:rPr><w:t xml:space="preserve">Guillaume Decauwert</w:t></w:r></w:hyperlink></w:p><w:p><w:pPr/><w:r><w:rPr><w:i w:val="1"/><w:iCs w:val="1"/></w:rPr><w:t xml:space="preserve">Analysis and metaphysics</w:t></w:r><w:r><w:rPr/><w:t xml:space="preserve">, 2013</w:t></w:r></w:p><w:p><w:pPr/><w:r><w:rPr/><w:t xml:space="preserve">Article dans une revue</w:t></w:r></w:p><w:p><w:pPr/><w:hyperlink r:id="rId23" w:history="1"><w:r><w:rPr><w:color w:val="#410a8c"/><w:u w:val="single"/></w:rPr><w:t xml:space="preserve">hal-03527242v1</w:t></w:r></w:hyperlink></w:p></w:tc></w:tr><w:tr><w:trPr/><w:tc><w:tcPr><w:noWrap/></w:tcPr><w:p><w:pPr><w:spacing w:after="200"/></w:pPr><w:hyperlink r:id="rId24" w:history="1"><w:r><w:rPr><w:color w:val="1e198e"/><w:b w:val="1"/><w:bCs w:val="1"/><w:u w:val="single"/></w:rPr><w:t xml:space="preserve">« Saying and Showing: The Single Solution of all the ‘‘Problems of Philosophy’’ according to the Tractatus »,</w:t></w:r></w:hyperlink></w:p><w:p><w:pPr/><w:hyperlink r:id="rId8" w:history="1"><w:r><w:rPr><w:color w:val="#410a8c"/><w:u w:val="single"/></w:rPr><w:t xml:space="preserve">Guillaume Decauwert</w:t></w:r></w:hyperlink></w:p><w:p><w:pPr/><w:r><w:rPr><w:i w:val="1"/><w:iCs w:val="1"/></w:rPr><w:t xml:space="preserve">Analysis and metaphysics</w:t></w:r><w:r><w:rPr/><w:t xml:space="preserve">, 2013</w:t></w:r></w:p><w:p><w:pPr/><w:r><w:rPr/><w:t xml:space="preserve">Article dans une revue</w:t></w:r></w:p><w:p><w:pPr/><w:hyperlink r:id="rId24" w:history="1"><w:r><w:rPr><w:color w:val="#410a8c"/><w:u w:val="single"/></w:rPr><w:t xml:space="preserve">hal-03527261v1</w:t></w:r></w:hyperlink></w:p></w:tc></w:tr><w:tr><w:trPr/><w:tc><w:tcPr><w:noWrap/></w:tcPr><w:p><w:pPr><w:spacing w:after="200"/></w:pPr><w:hyperlink r:id="rId25" w:history="1"><w:r><w:rPr><w:color w:val="1e198e"/><w:b w:val="1"/><w:bCs w:val="1"/><w:u w:val="single"/></w:rPr><w:t xml:space="preserve">Réflexion transcendantale et description grammaticale. Recension de Arley Moreno & Antonia Soulez (dir.) Grammatical ou transcendantal ?, Cahiers de philosophie du langage n°8, Paris, L’Harmattan, mai 2012.</w:t></w:r></w:hyperlink></w:p><w:p><w:pPr/><w:hyperlink r:id="rId8" w:history="1"><w:r><w:rPr><w:color w:val="#410a8c"/><w:u w:val="single"/></w:rPr><w:t xml:space="preserve">Guillaume Decauwert</w:t></w:r></w:hyperlink></w:p><w:p><w:pPr/><w:r><w:rPr><w:i w:val="1"/><w:iCs w:val="1"/></w:rPr><w:t xml:space="preserve">Implications philosophiques</w:t></w:r><w:r><w:rPr/><w:t xml:space="preserve">, 2012</w:t></w:r></w:p><w:p><w:pPr/><w:r><w:rPr/><w:t xml:space="preserve">Article dans une revue</w:t></w:r></w:p><w:p><w:pPr/><w:hyperlink r:id="rId25" w:history="1"><w:r><w:rPr><w:color w:val="#410a8c"/><w:u w:val="single"/></w:rPr><w:t xml:space="preserve">hal-03354812v1</w:t></w:r></w:hyperlink></w:p></w:tc></w:tr><w:tr><w:trPr/><w:tc><w:tcPr><w:noWrap/></w:tcPr><w:p><w:pPr><w:spacing w:after="200"/></w:pPr><w:hyperlink r:id="rId26" w:history="1"><w:r><w:rPr><w:color w:val="1e198e"/><w:b w:val="1"/><w:bCs w:val="1"/><w:u w:val="single"/></w:rPr><w:t xml:space="preserve">2011. « Wittgenstein, Heidegger et l’existence du monde »</w:t></w:r></w:hyperlink></w:p><w:p><w:pPr/><w:hyperlink r:id="rId8" w:history="1"><w:r><w:rPr><w:color w:val="#410a8c"/><w:u w:val="single"/></w:rPr><w:t xml:space="preserve">Guillaume Decauwert</w:t></w:r></w:hyperlink></w:p><w:p><w:pPr/><w:r><w:rPr><w:i w:val="1"/><w:iCs w:val="1"/></w:rPr><w:t xml:space="preserve">REPHA--Revue étudiante de philosophie analytique</w:t></w:r><w:r><w:rPr/><w:t xml:space="preserve">, 2011</w:t></w:r></w:p><w:p><w:pPr/><w:r><w:rPr/><w:t xml:space="preserve">Article dans une revue</w:t></w:r></w:p><w:p><w:pPr/><w:hyperlink r:id="rId26" w:history="1"><w:r><w:rPr><w:color w:val="#410a8c"/><w:u w:val="single"/></w:rPr><w:t xml:space="preserve">hal-03527258v1</w:t></w:r></w:hyperlink></w:p></w:tc></w:tr><w:tr><w:trPr/><w:tc><w:tcPr><w:noWrap/></w:tcPr><w:p><w:pPr><w:spacing w:after="200"/></w:pPr><w:hyperlink r:id="rId27" w:history="1"><w:r><w:rPr><w:color w:val="1e198e"/><w:b w:val="1"/><w:bCs w:val="1"/><w:u w:val="single"/></w:rPr><w:t xml:space="preserve">« Ce que la logique a d’indicible. Essai de reconstruction d’un dialogue entre Frege et Wittgenstein »</w:t></w:r></w:hyperlink></w:p><w:p><w:pPr/><w:hyperlink r:id="rId8" w:history="1"><w:r><w:rPr><w:color w:val="#410a8c"/><w:u w:val="single"/></w:rPr><w:t xml:space="preserve">Guillaume Decauwert</w:t></w:r></w:hyperlink></w:p><w:p><w:pPr/><w:r><w:rPr><w:i w:val="1"/><w:iCs w:val="1"/></w:rPr><w:t xml:space="preserve">Implications philosophiques</w:t></w:r><w:r><w:rPr/><w:t xml:space="preserve">, 2011</w:t></w:r></w:p><w:p><w:pPr/><w:r><w:rPr/><w:t xml:space="preserve">Article dans une revue</w:t></w:r></w:p><w:p><w:pPr/><w:hyperlink r:id="rId27" w:history="1"><w:r><w:rPr><w:color w:val="#410a8c"/><w:u w:val="single"/></w:rPr><w:t xml:space="preserve">hal-03527259v1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 The Saying-Showing Distinction in the Tractatus: A brief Attempt at a formal Elucidation »</w:t></w:r></w:hyperlink></w:p><w:p><w:pPr/><w:hyperlink r:id="rId8" w:history="1"><w:r><w:rPr><w:color w:val="#410a8c"/><w:u w:val="single"/></w:rPr><w:t xml:space="preserve">Guillaume Decauwert</w:t></w:r></w:hyperlink></w:p><w:p><w:pPr/><w:r><w:rPr><w:i w:val="1"/><w:iCs w:val="1"/></w:rPr><w:t xml:space="preserve">Pre-proceedings of the 35-th International Wittgenstein Symposium, août 2012.</w:t></w:r><w:r><w:rPr/><w:t xml:space="preserve">, 2012</w:t></w:r></w:p><w:p><w:pPr/><w:r><w:rPr/><w:t xml:space="preserve">Chapitre d'ouvrage</w:t></w:r></w:p><w:p><w:pPr/><w:hyperlink r:id="rId28" w:history="1"><w:r><w:rPr><w:color w:val="#410a8c"/><w:u w:val="single"/></w:rPr><w:t xml:space="preserve">hal-03527260v1</w:t></w:r></w:hyperlink></w:p></w:tc></w:tr></w:tbl><w:sectPr><w:footerReference w:type="default" r:id="rId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527264v1" TargetMode="External"/><Relationship Id="rId8" Type="http://schemas.openxmlformats.org/officeDocument/2006/relationships/hyperlink" Target="https://hal.science/search/index/?q=*&amp;authFullName_s=Guillaume Decauwert" TargetMode="External"/><Relationship Id="rId9" Type="http://schemas.openxmlformats.org/officeDocument/2006/relationships/hyperlink" Target="https://hal.science/hal-03527265v1" TargetMode="External"/><Relationship Id="rId10" Type="http://schemas.openxmlformats.org/officeDocument/2006/relationships/hyperlink" Target="https://hal.science/hal-03527268v1" TargetMode="External"/><Relationship Id="rId11" Type="http://schemas.openxmlformats.org/officeDocument/2006/relationships/hyperlink" Target="https://hal.science/hal-03527270v1" TargetMode="External"/><Relationship Id="rId12" Type="http://schemas.openxmlformats.org/officeDocument/2006/relationships/hyperlink" Target="https://hal.science/hal-03527272v1" TargetMode="External"/><Relationship Id="rId13" Type="http://schemas.openxmlformats.org/officeDocument/2006/relationships/hyperlink" Target="https://hal.science/hal-03527266v1" TargetMode="External"/><Relationship Id="rId14" Type="http://schemas.openxmlformats.org/officeDocument/2006/relationships/hyperlink" Target="https://hal.science/hal-03527273v1" TargetMode="External"/><Relationship Id="rId15" Type="http://schemas.openxmlformats.org/officeDocument/2006/relationships/hyperlink" Target="https://hal.science/hal-03527274v1" TargetMode="External"/><Relationship Id="rId16" Type="http://schemas.openxmlformats.org/officeDocument/2006/relationships/hyperlink" Target="https://hal.science/hal-03527275v1" TargetMode="External"/><Relationship Id="rId17" Type="http://schemas.openxmlformats.org/officeDocument/2006/relationships/hyperlink" Target="https://hal.science/hal-03581549v1" TargetMode="External"/><Relationship Id="rId18" Type="http://schemas.openxmlformats.org/officeDocument/2006/relationships/hyperlink" Target="https://dx.doi.org/10.7413/24208914110" TargetMode="External"/><Relationship Id="rId19" Type="http://schemas.openxmlformats.org/officeDocument/2006/relationships/hyperlink" Target="https://hal.science/hal-03527233v1" TargetMode="External"/><Relationship Id="rId20" Type="http://schemas.openxmlformats.org/officeDocument/2006/relationships/hyperlink" Target="https://hal.science/hal-03527235v1" TargetMode="External"/><Relationship Id="rId21" Type="http://schemas.openxmlformats.org/officeDocument/2006/relationships/hyperlink" Target="https://hal.science/hal-03527236v1" TargetMode="External"/><Relationship Id="rId22" Type="http://schemas.openxmlformats.org/officeDocument/2006/relationships/hyperlink" Target="https://hal.science/hal-03358647v1" TargetMode="External"/><Relationship Id="rId23" Type="http://schemas.openxmlformats.org/officeDocument/2006/relationships/hyperlink" Target="https://hal.science/hal-03527242v1" TargetMode="External"/><Relationship Id="rId24" Type="http://schemas.openxmlformats.org/officeDocument/2006/relationships/hyperlink" Target="https://hal.science/hal-03527261v1" TargetMode="External"/><Relationship Id="rId25" Type="http://schemas.openxmlformats.org/officeDocument/2006/relationships/hyperlink" Target="https://hal.science/hal-03354812v1" TargetMode="External"/><Relationship Id="rId26" Type="http://schemas.openxmlformats.org/officeDocument/2006/relationships/hyperlink" Target="https://hal.science/hal-03527258v1" TargetMode="External"/><Relationship Id="rId27" Type="http://schemas.openxmlformats.org/officeDocument/2006/relationships/hyperlink" Target="https://hal.science/hal-03527259v1" TargetMode="External"/><Relationship Id="rId28" Type="http://schemas.openxmlformats.org/officeDocument/2006/relationships/hyperlink" Target="https://hal.science/hal-03527260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DECAUWERT</dc:title>
  <dc:description>CV</dc:description>
  <dc:subject/>
  <cp:keywords/>
  <cp:category/>
  <cp:lastModifiedBy/>
  <dcterms:created xsi:type="dcterms:W3CDTF">2026-03-19T22:24:34+01:00</dcterms:created>
  <dcterms:modified xsi:type="dcterms:W3CDTF">2026-03-19T22:24:34+01:00</dcterms:modified>
</cp:coreProperties>
</file>

<file path=docProps/custom.xml><?xml version="1.0" encoding="utf-8"?>
<Properties xmlns="http://schemas.openxmlformats.org/officeDocument/2006/custom-properties" xmlns:vt="http://schemas.openxmlformats.org/officeDocument/2006/docPropsVTypes"/>
</file>