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Haifa Bouattour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d'espace en architecture : entre tension, ambigüité et dialectique intérieur/extérieur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Bouattour</w:t>
              </w:r>
            </w:hyperlink>
          </w:p>
          <w:p>
            <w:pPr/>
            <w:r>
              <w:rPr/>
              <w:t xml:space="preserve">Linguistique. Université Paris Nanterre; Institut Supérieur des Beaux Arts de Nabeul,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2022PA100150⟩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tel-04132655v1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132655v1" TargetMode="External"/><Relationship Id="rId8" Type="http://schemas.openxmlformats.org/officeDocument/2006/relationships/hyperlink" Target="https://hal.science/search/index/?q=*&amp;authFullName_s=Haifa Bouattour" TargetMode="External"/><Relationship Id="rId9" Type="http://schemas.openxmlformats.org/officeDocument/2006/relationships/hyperlink" Target="https://www.theses.fr/2022PA10015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Haifa Bouattour</dc:title>
  <dc:description>CV</dc:description>
  <dc:subject/>
  <cp:keywords/>
  <cp:category/>
  <cp:lastModifiedBy/>
  <dcterms:created xsi:type="dcterms:W3CDTF">2026-05-16T21:44:43+02:00</dcterms:created>
  <dcterms:modified xsi:type="dcterms:W3CDTF">2026-05-16T21:44:43+02:00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