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Guichard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métallurgie de 2021 à 2024 au sein de l'Institut Jean Lamour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Guichard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