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INAYATULLAH DIN </w:t>
      </w:r>
      <w:r>
        <w:rPr>
          <w:color w:val="641e6e"/>
        </w:rPr>
        <w:t xml:space="preserve">Doctorant à l'EHESSCeRCLEs - Campus EHESS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inayatullah-din</w:t>
        </w:r>
      </w:hyperlink>
    </w:p>
    <w:p>
      <w:pPr>
        <w:numPr>
          <w:ilvl w:val="0"/>
          <w:numId w:val="1"/>
        </w:numPr>
      </w:pPr>
      <w:r>
        <w:rPr/>
        <w:t xml:space="preserve"> ORCID : </w:t>
      </w:r>
      <w:hyperlink r:id="rId8" w:history="1">
        <w:r>
          <w:rPr>
            <w:color w:val="#410a8c"/>
            <w:u w:val="single"/>
          </w:rPr>
          <w:t xml:space="preserve">0000-0001-9581-5920</w:t>
        </w:r>
      </w:hyperlink>
    </w:p>
    <w:p>
      <w:pPr>
        <w:spacing w:before="600"/>
      </w:pPr>
    </w:p>
    <w:p>
      <w:pPr>
        <w:pStyle w:val="Heading2"/>
      </w:pPr>
      <w:r>
        <w:rPr>
          <w:color w:val="1e198e"/>
          <w:b w:val="1"/>
          <w:bCs w:val="1"/>
        </w:rPr>
        <w:t xml:space="preserve">Présentation</w:t>
      </w:r>
    </w:p>
    <w:p>
      <w:pPr>
        <w:spacing w:after="100"/>
      </w:pPr>
    </w:p>
    <w:p>
      <w:pPr/>
      <w:r>
        <w:rPr/>
        <w:t xml:space="preserve">Je suis doctorante en histoire à l'École des Hautes Études en Sciences Sociales (EHESS) de Marseille, affiliée au centre de recherche CeRCLEs. J'ai obtenu mon master à l'université d'Hyderabad, en Inde. Mes recherches portent sur les dynamiques empire-environnement dans l'Himalaya, en particulier au Cachemire du XIXe siècle et dans les régions environnantes. En m'appuyant sur diverses sources persanes, ourdoues et coloniales, ainsi que sur mes propres travaux ethnographiques sur le terrain, mon projet interdisciplinaire examine les processus complexes et stratifiés qui ont conduit à la (dé)construction de l'État du Jammu-et-Cachemire à travers un prisme écologique. Je m'intéresse également aux relations entre l'empire moghol et l'Himalaya, à la fois pour comprendre la formation du Cachemire moghol et pour établir des comparaisons avec la restructuration coloniale de la région au XIXe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Āb-i Shifā : Sources sacrées et paysages sociopolitiques — Découverte de Chashmahā-yi Kashmīr</w:t>
              </w:r>
            </w:hyperlink>
          </w:p>
          <w:p>
            <w:pPr/>
            <w:hyperlink r:id="rId10" w:history="1">
              <w:r>
                <w:rPr>
                  <w:color w:val="#410a8c"/>
                  <w:u w:val="single"/>
                </w:rPr>
                <w:t xml:space="preserve">Inayatullah Din</w:t>
              </w:r>
            </w:hyperlink>
          </w:p>
          <w:p>
            <w:pPr/>
            <w:r>
              <w:rPr>
                <w:i w:val="1"/>
                <w:iCs w:val="1"/>
              </w:rPr>
              <w:t xml:space="preserve">Agro-pastoralism and Water Management in Medieval Central Asia: Cross-disciplinary Perspectives from Iconography, History, Literature, and Paleoenvironmental Science</w:t>
            </w:r>
            <w:r>
              <w:rPr/>
              <w:t xml:space="preserve">, French academic network GIS MOMM, Jun 2025, Strasbourg, France</w:t>
            </w:r>
          </w:p>
          <w:p>
            <w:pPr/>
            <w:r>
              <w:rPr/>
              <w:t xml:space="preserve">Communication dans un congrès</w:t>
            </w:r>
          </w:p>
          <w:p>
            <w:pPr/>
            <w:hyperlink r:id="rId9" w:history="1">
              <w:r>
                <w:rPr>
                  <w:color w:val="#410a8c"/>
                  <w:u w:val="single"/>
                </w:rPr>
                <w:t xml:space="preserve">hal-05171334v1</w:t>
              </w:r>
            </w:hyperlink>
          </w:p>
        </w:tc>
      </w:tr>
      <w:tr>
        <w:trPr/>
        <w:tc>
          <w:tcPr>
            <w:noWrap/>
          </w:tcPr>
          <w:p>
            <w:pPr>
              <w:spacing w:after="200"/>
            </w:pPr>
            <w:hyperlink r:id="rId11" w:history="1">
              <w:r>
                <w:rPr>
                  <w:color w:val="1e198e"/>
                  <w:b w:val="1"/>
                  <w:bCs w:val="1"/>
                  <w:u w:val="single"/>
                </w:rPr>
                <w:t xml:space="preserve">Les sultans, les soufis et la formation de la légitimité shahmiri (1339-1561 après J.-C.) : une histoire du pouvoir politique et religieux dans le Cachemire prémoderne</w:t>
              </w:r>
            </w:hyperlink>
          </w:p>
          <w:p>
            <w:pPr/>
            <w:hyperlink r:id="rId10" w:history="1">
              <w:r>
                <w:rPr>
                  <w:color w:val="#410a8c"/>
                  <w:u w:val="single"/>
                </w:rPr>
                <w:t xml:space="preserve">Inayatullah Din</w:t>
              </w:r>
            </w:hyperlink>
          </w:p>
          <w:p>
            <w:pPr/>
            <w:r>
              <w:rPr>
                <w:i w:val="1"/>
                <w:iCs w:val="1"/>
              </w:rPr>
              <w:t xml:space="preserve">Généalogies arabes des dynasties non arabes : une quête de légitimité inattendue en Islam médiéval et moderne (IXe-XVIIIe) ?</w:t>
            </w:r>
            <w:r>
              <w:rPr/>
              <w:t xml:space="preserve">, Mediterranean House of Human Sciences, Aix-en-Provence, Mar 2024, Aix - en - Provence, France</w:t>
            </w:r>
          </w:p>
          <w:p>
            <w:pPr/>
            <w:r>
              <w:rPr/>
              <w:t xml:space="preserve">Communication dans un congrès</w:t>
            </w:r>
          </w:p>
          <w:p>
            <w:pPr/>
            <w:hyperlink r:id="rId11" w:history="1">
              <w:r>
                <w:rPr>
                  <w:color w:val="#410a8c"/>
                  <w:u w:val="single"/>
                </w:rPr>
                <w:t xml:space="preserve">hal-05171335v1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Dancing in Duality: Exploring the Comparative Relationship of Swahili Culture with Islamic and Liberal Paradigms</w:t>
              </w:r>
            </w:hyperlink>
          </w:p>
          <w:p>
            <w:pPr/>
            <w:hyperlink r:id="rId10" w:history="1">
              <w:r>
                <w:rPr>
                  <w:color w:val="#410a8c"/>
                  <w:u w:val="single"/>
                </w:rPr>
                <w:t xml:space="preserve">Inayatullah Din</w:t>
              </w:r>
            </w:hyperlink>
          </w:p>
          <w:p>
            <w:pPr/>
            <w:r>
              <w:rPr>
                <w:i w:val="1"/>
                <w:iCs w:val="1"/>
              </w:rPr>
              <w:t xml:space="preserve"> Karachi Islamicus</w:t>
            </w:r>
            <w:r>
              <w:rPr/>
              <w:t xml:space="preserve">, 2023, 3 (1), pp.17-29. </w:t>
            </w:r>
            <w:hyperlink r:id="rId13" w:history="1">
              <w:r>
                <w:rPr>
                  <w:color w:val="#410a8c"/>
                  <w:u w:val="single"/>
                </w:rPr>
                <w:t xml:space="preserve">⟨10.58575/ki.v3i1.32⟩</w:t>
              </w:r>
            </w:hyperlink>
          </w:p>
          <w:p>
            <w:pPr/>
            <w:r>
              <w:rPr/>
              <w:t xml:space="preserve">Article dans une revue</w:t>
            </w:r>
          </w:p>
          <w:p>
            <w:pPr/>
            <w:hyperlink r:id="rId12" w:history="1">
              <w:r>
                <w:rPr>
                  <w:color w:val="#410a8c"/>
                  <w:u w:val="single"/>
                </w:rPr>
                <w:t xml:space="preserve">hal-05170822v1</w:t>
              </w:r>
            </w:hyperlink>
          </w:p>
        </w:tc>
      </w:tr>
      <w:tr>
        <w:trPr/>
        <w:tc>
          <w:tcPr>
            <w:noWrap/>
          </w:tcPr>
          <w:p>
            <w:pPr>
              <w:spacing w:after="200"/>
            </w:pPr>
            <w:hyperlink r:id="rId14" w:history="1">
              <w:r>
                <w:rPr>
                  <w:color w:val="1e198e"/>
                  <w:b w:val="1"/>
                  <w:bCs w:val="1"/>
                  <w:u w:val="single"/>
                </w:rPr>
                <w:t xml:space="preserve">Teaching old history in new India: Problems and Possibilities.</w:t>
              </w:r>
            </w:hyperlink>
          </w:p>
          <w:p>
            <w:pPr/>
            <w:hyperlink r:id="rId10" w:history="1">
              <w:r>
                <w:rPr>
                  <w:color w:val="#410a8c"/>
                  <w:u w:val="single"/>
                </w:rPr>
                <w:t xml:space="preserve">Inayatullah Din</w:t>
              </w:r>
            </w:hyperlink>
          </w:p>
          <w:p>
            <w:pPr/>
            <w:r>
              <w:rPr>
                <w:i w:val="1"/>
                <w:iCs w:val="1"/>
              </w:rPr>
              <w:t xml:space="preserve">Quarterly Journal of the Pakistan Historical Society</w:t>
            </w:r>
            <w:r>
              <w:rPr/>
              <w:t xml:space="preserve">, 2023, 71 (3), pp.79-93</w:t>
            </w:r>
          </w:p>
          <w:p>
            <w:pPr/>
            <w:r>
              <w:rPr/>
              <w:t xml:space="preserve">Article dans une revue</w:t>
            </w:r>
          </w:p>
          <w:p>
            <w:pPr/>
            <w:hyperlink r:id="rId14" w:history="1">
              <w:r>
                <w:rPr>
                  <w:color w:val="#410a8c"/>
                  <w:u w:val="single"/>
                </w:rPr>
                <w:t xml:space="preserve">hal-05170819v1</w:t>
              </w:r>
            </w:hyperlink>
          </w:p>
        </w:tc>
      </w:tr>
      <w:tr>
        <w:trPr/>
        <w:tc>
          <w:tcPr>
            <w:noWrap/>
          </w:tcPr>
          <w:p>
            <w:pPr>
              <w:spacing w:after="200"/>
            </w:pPr>
            <w:hyperlink r:id="rId15" w:history="1">
              <w:r>
                <w:rPr>
                  <w:color w:val="1e198e"/>
                  <w:b w:val="1"/>
                  <w:bCs w:val="1"/>
                  <w:u w:val="single"/>
                </w:rPr>
                <w:t xml:space="preserve">Different Dimensions of Muslim Nationalism in South Asia Before the Establishment of Muslim League</w:t>
              </w:r>
            </w:hyperlink>
          </w:p>
          <w:p>
            <w:pPr/>
            <w:hyperlink r:id="rId10" w:history="1">
              <w:r>
                <w:rPr>
                  <w:color w:val="#410a8c"/>
                  <w:u w:val="single"/>
                </w:rPr>
                <w:t xml:space="preserve">Inayatullah Din</w:t>
              </w:r>
            </w:hyperlink>
          </w:p>
          <w:p>
            <w:pPr/>
            <w:r>
              <w:rPr>
                <w:i w:val="1"/>
                <w:iCs w:val="1"/>
              </w:rPr>
              <w:t xml:space="preserve"> Historical Research Letter</w:t>
            </w:r>
            <w:r>
              <w:rPr/>
              <w:t xml:space="preserve">, 2021, 53, pp.10-15. </w:t>
            </w:r>
            <w:hyperlink r:id="rId16" w:history="1">
              <w:r>
                <w:rPr>
                  <w:color w:val="#410a8c"/>
                  <w:u w:val="single"/>
                </w:rPr>
                <w:t xml:space="preserve">⟨10.7176/HRL/53-02⟩</w:t>
              </w:r>
            </w:hyperlink>
          </w:p>
          <w:p>
            <w:pPr/>
            <w:r>
              <w:rPr/>
              <w:t xml:space="preserve">Article dans une revue</w:t>
            </w:r>
          </w:p>
          <w:p>
            <w:pPr/>
            <w:hyperlink r:id="rId15" w:history="1">
              <w:r>
                <w:rPr>
                  <w:color w:val="#410a8c"/>
                  <w:u w:val="single"/>
                </w:rPr>
                <w:t xml:space="preserve">hal-05171316v1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Indian Muslims and Modernity</w:t>
              </w:r>
            </w:hyperlink>
          </w:p>
          <w:p>
            <w:pPr/>
            <w:hyperlink r:id="rId10" w:history="1">
              <w:r>
                <w:rPr>
                  <w:color w:val="#410a8c"/>
                  <w:u w:val="single"/>
                </w:rPr>
                <w:t xml:space="preserve">Inayatullah Din</w:t>
              </w:r>
            </w:hyperlink>
          </w:p>
          <w:p>
            <w:pPr/>
            <w:r>
              <w:rPr/>
              <w:t xml:space="preserve">2020</w:t>
            </w:r>
          </w:p>
          <w:p>
            <w:pPr/>
            <w:r>
              <w:rPr/>
              <w:t xml:space="preserve">Article de blog scientifique</w:t>
            </w:r>
          </w:p>
          <w:p>
            <w:pPr/>
            <w:hyperlink r:id="rId17" w:history="1">
              <w:r>
                <w:rPr>
                  <w:color w:val="#410a8c"/>
                  <w:u w:val="single"/>
                </w:rPr>
                <w:t xml:space="preserve">hal-05171353v1</w:t>
              </w:r>
            </w:hyperlink>
          </w:p>
        </w:tc>
      </w:tr>
      <w:tr>
        <w:trPr/>
        <w:tc>
          <w:tcPr>
            <w:noWrap/>
          </w:tcPr>
          <w:p>
            <w:pPr>
              <w:spacing w:after="200"/>
            </w:pPr>
            <w:hyperlink r:id="rId18" w:history="1">
              <w:r>
                <w:rPr>
                  <w:color w:val="1e198e"/>
                  <w:b w:val="1"/>
                  <w:bCs w:val="1"/>
                  <w:u w:val="single"/>
                </w:rPr>
                <w:t xml:space="preserve">An art that came from Samarqand in the 15th century, struggles to survive in Kashmir</w:t>
              </w:r>
            </w:hyperlink>
          </w:p>
          <w:p>
            <w:pPr/>
            <w:hyperlink r:id="rId10" w:history="1">
              <w:r>
                <w:rPr>
                  <w:color w:val="#410a8c"/>
                  <w:u w:val="single"/>
                </w:rPr>
                <w:t xml:space="preserve">Inayatullah Din</w:t>
              </w:r>
            </w:hyperlink>
          </w:p>
          <w:p>
            <w:pPr/>
            <w:r>
              <w:rPr/>
              <w:t xml:space="preserve">2020</w:t>
            </w:r>
          </w:p>
          <w:p>
            <w:pPr/>
            <w:r>
              <w:rPr/>
              <w:t xml:space="preserve">Article de blog scientifique</w:t>
            </w:r>
          </w:p>
          <w:p>
            <w:pPr/>
            <w:hyperlink r:id="rId18" w:history="1">
              <w:r>
                <w:rPr>
                  <w:color w:val="#410a8c"/>
                  <w:u w:val="single"/>
                </w:rPr>
                <w:t xml:space="preserve">hal-05186389v1</w:t>
              </w:r>
            </w:hyperlink>
          </w:p>
        </w:tc>
      </w:tr>
      <w:tr>
        <w:trPr/>
        <w:tc>
          <w:tcPr>
            <w:noWrap/>
          </w:tcPr>
          <w:p>
            <w:pPr>
              <w:spacing w:after="200"/>
            </w:pPr>
            <w:hyperlink r:id="rId19" w:history="1">
              <w:r>
                <w:rPr>
                  <w:color w:val="1e198e"/>
                  <w:b w:val="1"/>
                  <w:bCs w:val="1"/>
                  <w:u w:val="single"/>
                </w:rPr>
                <w:t xml:space="preserve">Structural Violence: Violence in the Normality of Things</w:t>
              </w:r>
            </w:hyperlink>
          </w:p>
          <w:p>
            <w:pPr/>
            <w:hyperlink r:id="rId10" w:history="1">
              <w:r>
                <w:rPr>
                  <w:color w:val="#410a8c"/>
                  <w:u w:val="single"/>
                </w:rPr>
                <w:t xml:space="preserve">Inayatullah Din</w:t>
              </w:r>
            </w:hyperlink>
          </w:p>
          <w:p>
            <w:pPr/>
            <w:r>
              <w:rPr/>
              <w:t xml:space="preserve">2020</w:t>
            </w:r>
          </w:p>
          <w:p>
            <w:pPr/>
            <w:r>
              <w:rPr/>
              <w:t xml:space="preserve">Article de blog scientifique</w:t>
            </w:r>
          </w:p>
          <w:p>
            <w:pPr/>
            <w:hyperlink r:id="rId19" w:history="1">
              <w:r>
                <w:rPr>
                  <w:color w:val="#410a8c"/>
                  <w:u w:val="single"/>
                </w:rPr>
                <w:t xml:space="preserve">hal-05171324v1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7F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ayatullah-din" TargetMode="External"/><Relationship Id="rId8" Type="http://schemas.openxmlformats.org/officeDocument/2006/relationships/hyperlink" Target="https://orcid.org/0000-0001-9581-5920" TargetMode="External"/><Relationship Id="rId9" Type="http://schemas.openxmlformats.org/officeDocument/2006/relationships/hyperlink" Target="https://hal.science/hal-05171334v1" TargetMode="External"/><Relationship Id="rId10" Type="http://schemas.openxmlformats.org/officeDocument/2006/relationships/hyperlink" Target="https://hal.science/search/index/?q=*&amp;authFullName_s=Inayatullah Din" TargetMode="External"/><Relationship Id="rId11" Type="http://schemas.openxmlformats.org/officeDocument/2006/relationships/hyperlink" Target="https://hal.science/hal-05171335v1" TargetMode="External"/><Relationship Id="rId12" Type="http://schemas.openxmlformats.org/officeDocument/2006/relationships/hyperlink" Target="https://hal.science/hal-05170822v1" TargetMode="External"/><Relationship Id="rId13" Type="http://schemas.openxmlformats.org/officeDocument/2006/relationships/hyperlink" Target="https://dx.doi.org/10.58575/ki.v3i1.32" TargetMode="External"/><Relationship Id="rId14" Type="http://schemas.openxmlformats.org/officeDocument/2006/relationships/hyperlink" Target="https://hal.science/hal-05170819v1" TargetMode="External"/><Relationship Id="rId15" Type="http://schemas.openxmlformats.org/officeDocument/2006/relationships/hyperlink" Target="https://hal.science/hal-05171316v1" TargetMode="External"/><Relationship Id="rId16" Type="http://schemas.openxmlformats.org/officeDocument/2006/relationships/hyperlink" Target="https://dx.doi.org/10.7176/HRL/53-02" TargetMode="External"/><Relationship Id="rId17" Type="http://schemas.openxmlformats.org/officeDocument/2006/relationships/hyperlink" Target="https://hal.science/hal-05171353v1" TargetMode="External"/><Relationship Id="rId18" Type="http://schemas.openxmlformats.org/officeDocument/2006/relationships/hyperlink" Target="https://hal.science/hal-05186389v1" TargetMode="External"/><Relationship Id="rId19" Type="http://schemas.openxmlformats.org/officeDocument/2006/relationships/hyperlink" Target="https://hal.science/hal-05171324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INAYATULLAH DIN</dc:title>
  <dc:description>CV</dc:description>
  <dc:subject/>
  <cp:keywords/>
  <cp:category/>
  <cp:lastModifiedBy/>
  <dcterms:created xsi:type="dcterms:W3CDTF">2026-03-14T07:29:50+01:00</dcterms:created>
  <dcterms:modified xsi:type="dcterms:W3CDTF">2026-03-14T07:29:50+01:00</dcterms:modified>
</cp:coreProperties>
</file>

<file path=docProps/custom.xml><?xml version="1.0" encoding="utf-8"?>
<Properties xmlns="http://schemas.openxmlformats.org/officeDocument/2006/custom-properties" xmlns:vt="http://schemas.openxmlformats.org/officeDocument/2006/docPropsVTypes"/>
</file>