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Inés Bigot </w:t>
      </w:r>
      <w:r>
        <w:rPr>
          <w:color w:val="641e6e"/>
        </w:rPr>
        <w:t xml:space="preserve">Maître de conférences en littératures postocoloniales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ines-bigot</w:t>
        </w:r>
      </w:hyperlink>
    </w:p>
    <w:p>
      <w:pPr>
        <w:numPr>
          <w:ilvl w:val="0"/>
          <w:numId w:val="1"/>
        </w:numPr>
      </w:pPr>
      <w:r>
        <w:rPr/>
        <w:t xml:space="preserve"> IdRef : </w:t>
      </w:r>
      <w:hyperlink r:id="rId8" w:history="1">
        <w:r>
          <w:rPr>
            <w:color w:val="#410a8c"/>
            <w:u w:val="single"/>
          </w:rPr>
          <w:t xml:space="preserve">260973947</w:t>
        </w:r>
      </w:hyperlink>
    </w:p>
    <w:p>
      <w:pPr>
        <w:spacing w:before="600"/>
      </w:pPr>
    </w:p>
    <w:p>
      <w:pPr>
        <w:pStyle w:val="Heading2"/>
      </w:pPr>
      <w:r>
        <w:rPr>
          <w:color w:val="1e198e"/>
          <w:b w:val="1"/>
          <w:bCs w:val="1"/>
        </w:rPr>
        <w:t xml:space="preserve">Présentation</w:t>
      </w:r>
    </w:p>
    <w:p>
      <w:pPr>
        <w:spacing w:after="100"/>
      </w:pPr>
    </w:p>
    <w:p>
      <w:pPr/>
      <w:r>
        <w:rPr/>
        <w:t xml:space="preserve">Parcours :</w:t>
      </w:r>
    </w:p>
    <w:p>
      <w:pPr/>
      <w:r>
        <w:rPr/>
        <w:t xml:space="preserve">Doctorat (2021) : &amp;quot;Danse et dissidence : dramaturgie de la résistance dans le théâtre de William Butler Yeats et de Wole Soyinka&amp;quot;, Université Sorbonne Nouvelle. PRIX DE THÈSE DU CENTRE CULTUREL IRLANDAIS 2023.</w:t>
      </w:r>
    </w:p>
    <w:p>
      <w:pPr/>
      <w:r>
        <w:rPr/>
        <w:t xml:space="preserve">Concours : Normalienne de l'ENS Ulm (2013-2017). Diplômée de l'École Normale Supérieure en 2017.</w:t>
      </w:r>
    </w:p>
    <w:p>
      <w:pPr/>
      <w:r>
        <w:rPr/>
        <w:t xml:space="preserve">Agrégation externe d'anglais (option littérature 2016).</w:t>
      </w:r>
    </w:p>
    <w:p>
      <w:pPr/>
      <w:r>
        <w:rPr/>
        <w:t xml:space="preserve">Expérience professionnelle :</w:t>
      </w:r>
    </w:p>
    <w:p>
      <w:pPr/>
      <w:r>
        <w:rPr/>
        <w:t xml:space="preserve">2024-2025	Maîtresse de conférences en littératures postcoloniales, chargée de cours en littérature anglophone, littérature nigériane et méthodologie de la recherche (LLCER) ainsi qu’en grammaire (LEA) et traduction, Université Toulouse Jean-Jaurès, Unité de Formation et Recherche (UFR) Langues, Littératures et Civilisations et Étrangères (LLCE) et laboratoire Centre for Anglophone Studies (CAS EA 801)</w:t>
      </w:r>
    </w:p>
    <w:p>
      <w:pPr/>
      <w:r>
        <w:rPr/>
        <w:t xml:space="preserve">2023-2024	Maîtresse de conférences en littératures postcoloniales, chargée de cours en littérature anglophone, littérature nigériane et méthodologie de la recherche (LLCER) ainsi qu’en grammaire (LEA), Université Toulouse Jean-Jaurès, Unité de Formation et Recherche (UFR) Langues, Littératures et Civilisations et Étrangères (LLCE) et laboratoire Centre for Anglophone Studies (CAS EA 801)</w:t>
      </w:r>
    </w:p>
    <w:p>
      <w:pPr/>
      <w:r>
        <w:rPr/>
        <w:t xml:space="preserve">2022-2023	 Maîtresse de conférences stagiaire chargée de cours en littérature anglophone, littérature  nigériane et méthodologie de la recherche (LLCER) ainsi qu’en grammaire (LEA), Université Toulouse Jean-Jaurès, Unité de Formation et Recherche (UFR) Langues, Littératures et Civilisations et Étrangères (LLCE) et laboratoire Centre for Anglophone Studies (CAS EA 801)</w:t>
      </w:r>
    </w:p>
    <w:p>
      <w:pPr/>
      <w:r>
        <w:rPr/>
        <w:t xml:space="preserve">2021-2022 	Attachée temporaire d’enseignement et de recherche à temps plein, chargée de cours en littérature anglophone et en traduction (LLCER), Université Sorbonne Nouvelle, Unité de Formation et de Recherche (UFR) Langues, littératures, cultures et sociétés étrangères (LLCSE) et laboratoire PRISMES</w:t>
      </w:r>
    </w:p>
    <w:p>
      <w:pPr/>
      <w:r>
        <w:rPr/>
        <w:t xml:space="preserve">2017-2021 Doctorante contractuelle à l'université Sorbonne Nouvelle puis ATER en traduction à CY Cergy Paris Université.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Our World is Tumbling in the Void of Strangers&amp;quot; : A Failed Ritual in Wole Soyinka's Death and the King's Horseman</w:t>
              </w:r>
            </w:hyperlink>
          </w:p>
          <w:p>
            <w:pPr/>
            <w:hyperlink r:id="rId10" w:history="1">
              <w:r>
                <w:rPr>
                  <w:color w:val="#410a8c"/>
                  <w:u w:val="single"/>
                </w:rPr>
                <w:t xml:space="preserve">Inés Bigot</w:t>
              </w:r>
            </w:hyperlink>
          </w:p>
          <w:p>
            <w:pPr/>
            <w:r>
              <w:rPr>
                <w:i w:val="1"/>
                <w:iCs w:val="1"/>
              </w:rPr>
              <w:t xml:space="preserve">Postcolonial Literatures and Arts</w:t>
            </w:r>
            <w:r>
              <w:rPr/>
              <w:t xml:space="preserve">, 2024, 2 (1), </w:t>
            </w:r>
            <w:hyperlink r:id="rId11" w:history="1">
              <w:r>
                <w:rPr>
                  <w:color w:val="#410a8c"/>
                  <w:u w:val="single"/>
                </w:rPr>
                <w:t xml:space="preserve">⟨10.4000/130gk⟩</w:t>
              </w:r>
            </w:hyperlink>
          </w:p>
          <w:p>
            <w:pPr/>
            <w:r>
              <w:rPr/>
              <w:t xml:space="preserve">Article dans une revue</w:t>
            </w:r>
          </w:p>
          <w:p>
            <w:pPr/>
            <w:hyperlink r:id="rId9" w:history="1">
              <w:r>
                <w:rPr>
                  <w:color w:val="#410a8c"/>
                  <w:u w:val="single"/>
                </w:rPr>
                <w:t xml:space="preserve">hal-05146400v1</w:t>
              </w:r>
            </w:hyperlink>
          </w:p>
        </w:tc>
      </w:tr>
      <w:tr>
        <w:trPr/>
        <w:tc>
          <w:tcPr>
            <w:noWrap/>
          </w:tcPr>
          <w:p>
            <w:pPr>
              <w:spacing w:after="200"/>
            </w:pPr>
            <w:hyperlink r:id="rId12" w:history="1">
              <w:r>
                <w:rPr>
                  <w:color w:val="1e198e"/>
                  <w:b w:val="1"/>
                  <w:bCs w:val="1"/>
                  <w:u w:val="single"/>
                </w:rPr>
                <w:t xml:space="preserve">29 PopBand ou le &amp;quot;Walking Pop Show</w:t>
              </w:r>
            </w:hyperlink>
          </w:p>
          <w:p>
            <w:pPr/>
            <w:hyperlink r:id="rId10" w:history="1">
              <w:r>
                <w:rPr>
                  <w:color w:val="#410a8c"/>
                  <w:u w:val="single"/>
                </w:rPr>
                <w:t xml:space="preserve">Inés Bigot</w:t>
              </w:r>
            </w:hyperlink>
          </w:p>
          <w:p>
            <w:pPr/>
            <w:r>
              <w:rPr>
                <w:i w:val="1"/>
                <w:iCs w:val="1"/>
              </w:rPr>
              <w:t xml:space="preserve">Miranda : Revue pluridisciplinaire sur le monde anglophone. Multidisciplinary peer-reviewed journal on the English-speaking world </w:t>
            </w:r>
            <w:r>
              <w:rPr/>
              <w:t xml:space="preserve">, 2023, 27, </w:t>
            </w:r>
            <w:hyperlink r:id="rId13" w:history="1">
              <w:r>
                <w:rPr>
                  <w:color w:val="#410a8c"/>
                  <w:u w:val="single"/>
                </w:rPr>
                <w:t xml:space="preserve">⟨10.4000/miranda.53916⟩</w:t>
              </w:r>
            </w:hyperlink>
          </w:p>
          <w:p>
            <w:pPr/>
            <w:r>
              <w:rPr/>
              <w:t xml:space="preserve">Article dans une revue</w:t>
            </w:r>
          </w:p>
          <w:p>
            <w:pPr/>
            <w:hyperlink r:id="rId12" w:history="1">
              <w:r>
                <w:rPr>
                  <w:color w:val="#410a8c"/>
                  <w:u w:val="single"/>
                </w:rPr>
                <w:t xml:space="preserve">hal-05146398v1</w:t>
              </w:r>
            </w:hyperlink>
          </w:p>
        </w:tc>
      </w:tr>
      <w:tr>
        <w:trPr/>
        <w:tc>
          <w:tcPr>
            <w:noWrap/>
          </w:tcPr>
          <w:p>
            <w:pPr>
              <w:spacing w:after="200"/>
            </w:pPr>
            <w:hyperlink r:id="rId14" w:history="1">
              <w:r>
                <w:rPr>
                  <w:color w:val="1e198e"/>
                  <w:b w:val="1"/>
                  <w:bCs w:val="1"/>
                  <w:u w:val="single"/>
                </w:rPr>
                <w:t xml:space="preserve">The &amp;quot;Endless Dance of Contrapuntal Energy&amp;quot; : Conflict and Disunity in Fighting the Waves</w:t>
              </w:r>
            </w:hyperlink>
          </w:p>
          <w:p>
            <w:pPr/>
            <w:hyperlink r:id="rId10" w:history="1">
              <w:r>
                <w:rPr>
                  <w:color w:val="#410a8c"/>
                  <w:u w:val="single"/>
                </w:rPr>
                <w:t xml:space="preserve">Inés Bigot</w:t>
              </w:r>
            </w:hyperlink>
          </w:p>
          <w:p>
            <w:pPr/>
            <w:r>
              <w:rPr>
                <w:i w:val="1"/>
                <w:iCs w:val="1"/>
              </w:rPr>
              <w:t xml:space="preserve">International Yeats Studies </w:t>
            </w:r>
            <w:r>
              <w:rPr/>
              <w:t xml:space="preserve">, 2021, 5 (1), pp.27-40. </w:t>
            </w:r>
            <w:hyperlink r:id="rId15" w:history="1">
              <w:r>
                <w:rPr>
                  <w:color w:val="#410a8c"/>
                  <w:u w:val="single"/>
                </w:rPr>
                <w:t xml:space="preserve">⟨10.34068/IYS.05.01.03⟩</w:t>
              </w:r>
            </w:hyperlink>
          </w:p>
          <w:p>
            <w:pPr/>
            <w:r>
              <w:rPr/>
              <w:t xml:space="preserve">Article dans une revue</w:t>
            </w:r>
          </w:p>
          <w:p>
            <w:pPr/>
            <w:hyperlink r:id="rId14" w:history="1">
              <w:r>
                <w:rPr>
                  <w:color w:val="#410a8c"/>
                  <w:u w:val="single"/>
                </w:rPr>
                <w:t xml:space="preserve">hal-05146396v1</w:t>
              </w:r>
            </w:hyperlink>
          </w:p>
        </w:tc>
      </w:tr>
      <w:tr>
        <w:trPr/>
        <w:tc>
          <w:tcPr>
            <w:noWrap/>
          </w:tcPr>
          <w:p>
            <w:pPr>
              <w:spacing w:after="200"/>
            </w:pPr>
            <w:hyperlink r:id="rId16" w:history="1">
              <w:r>
                <w:rPr>
                  <w:color w:val="1e198e"/>
                  <w:b w:val="1"/>
                  <w:bCs w:val="1"/>
                  <w:u w:val="single"/>
                </w:rPr>
                <w:t xml:space="preserve">Dance and Dissidence in Wole Soyinka's Plays : From Status Quo to Revolution</w:t>
              </w:r>
            </w:hyperlink>
          </w:p>
          <w:p>
            <w:pPr/>
            <w:hyperlink r:id="rId10" w:history="1">
              <w:r>
                <w:rPr>
                  <w:color w:val="#410a8c"/>
                  <w:u w:val="single"/>
                </w:rPr>
                <w:t xml:space="preserve">Inés Bigot</w:t>
              </w:r>
            </w:hyperlink>
          </w:p>
          <w:p>
            <w:pPr/>
            <w:r>
              <w:rPr>
                <w:i w:val="1"/>
                <w:iCs w:val="1"/>
              </w:rPr>
              <w:t xml:space="preserve">Postcolonial Literatures and Arts</w:t>
            </w:r>
            <w:r>
              <w:rPr/>
              <w:t xml:space="preserve">, 2019, 42 (1), </w:t>
            </w:r>
            <w:hyperlink r:id="rId17" w:history="1">
              <w:r>
                <w:rPr>
                  <w:color w:val="#410a8c"/>
                  <w:u w:val="single"/>
                </w:rPr>
                <w:t xml:space="preserve">⟨10.4000/ces.609⟩</w:t>
              </w:r>
            </w:hyperlink>
          </w:p>
          <w:p>
            <w:pPr/>
            <w:r>
              <w:rPr/>
              <w:t xml:space="preserve">Article dans une revue</w:t>
            </w:r>
          </w:p>
          <w:p>
            <w:pPr/>
            <w:hyperlink r:id="rId16" w:history="1">
              <w:r>
                <w:rPr>
                  <w:color w:val="#410a8c"/>
                  <w:u w:val="single"/>
                </w:rPr>
                <w:t xml:space="preserve">hal-05146434v1</w:t>
              </w:r>
            </w:hyperlink>
          </w:p>
        </w:tc>
      </w:tr>
      <w:tr>
        <w:trPr/>
        <w:tc>
          <w:tcPr>
            <w:noWrap/>
          </w:tcPr>
          <w:p>
            <w:pPr>
              <w:spacing w:after="200"/>
            </w:pPr>
            <w:hyperlink r:id="rId18" w:history="1">
              <w:r>
                <w:rPr>
                  <w:color w:val="1e198e"/>
                  <w:b w:val="1"/>
                  <w:bCs w:val="1"/>
                  <w:u w:val="single"/>
                </w:rPr>
                <w:t xml:space="preserve">De l'envers des mots au discours muet : danse et langage dans le théâtre de William Butler Yeats et de Wole Soyinka</w:t>
              </w:r>
            </w:hyperlink>
          </w:p>
          <w:p>
            <w:pPr/>
            <w:hyperlink r:id="rId10" w:history="1">
              <w:r>
                <w:rPr>
                  <w:color w:val="#410a8c"/>
                  <w:u w:val="single"/>
                </w:rPr>
                <w:t xml:space="preserve">Inés Bigot</w:t>
              </w:r>
            </w:hyperlink>
          </w:p>
          <w:p>
            <w:pPr/>
            <w:r>
              <w:rPr>
                <w:i w:val="1"/>
                <w:iCs w:val="1"/>
              </w:rPr>
              <w:t xml:space="preserve">Recherches en Danse</w:t>
            </w:r>
            <w:r>
              <w:rPr/>
              <w:t xml:space="preserve">, 2019, 42, </w:t>
            </w:r>
            <w:hyperlink r:id="rId19" w:history="1">
              <w:r>
                <w:rPr>
                  <w:color w:val="#410a8c"/>
                  <w:u w:val="single"/>
                </w:rPr>
                <w:t xml:space="preserve">⟨10.4000/danse.2075⟩</w:t>
              </w:r>
            </w:hyperlink>
          </w:p>
          <w:p>
            <w:pPr/>
            <w:r>
              <w:rPr/>
              <w:t xml:space="preserve">Article dans une revue</w:t>
            </w:r>
          </w:p>
          <w:p>
            <w:pPr/>
            <w:hyperlink r:id="rId18" w:history="1">
              <w:r>
                <w:rPr>
                  <w:color w:val="#410a8c"/>
                  <w:u w:val="single"/>
                </w:rPr>
                <w:t xml:space="preserve">hal-05146433v1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La danse des fantômes ou l'échec de réconciliation rituelle dans The Dreaming of the Bones de W. B. Yeats</w:t>
              </w:r>
            </w:hyperlink>
          </w:p>
          <w:p>
            <w:pPr/>
            <w:hyperlink r:id="rId10" w:history="1">
              <w:r>
                <w:rPr>
                  <w:color w:val="#410a8c"/>
                  <w:u w:val="single"/>
                </w:rPr>
                <w:t xml:space="preserve">Inés Bigot</w:t>
              </w:r>
            </w:hyperlink>
          </w:p>
          <w:p>
            <w:pPr/>
            <w:r>
              <w:rPr>
                <w:i w:val="1"/>
                <w:iCs w:val="1"/>
              </w:rPr>
              <w:t xml:space="preserve">Conversations avec un fantôme</w:t>
            </w:r>
            <w:r>
              <w:rPr/>
              <w:t xml:space="preserve">, Carline Encarnación; Aurélie Guillain, Mar 2023, Toulouse, France</w:t>
            </w:r>
          </w:p>
          <w:p>
            <w:pPr/>
            <w:r>
              <w:rPr/>
              <w:t xml:space="preserve">Communication dans un congrès</w:t>
            </w:r>
          </w:p>
          <w:p>
            <w:pPr/>
            <w:hyperlink r:id="rId20" w:history="1">
              <w:r>
                <w:rPr>
                  <w:color w:val="#410a8c"/>
                  <w:u w:val="single"/>
                </w:rPr>
                <w:t xml:space="preserve">hal-05157142v1</w:t>
              </w:r>
            </w:hyperlink>
          </w:p>
        </w:tc>
      </w:tr>
      <w:tr>
        <w:trPr/>
        <w:tc>
          <w:tcPr>
            <w:noWrap/>
          </w:tcPr>
          <w:p>
            <w:pPr>
              <w:spacing w:after="200"/>
            </w:pPr>
            <w:hyperlink r:id="rId21" w:history="1">
              <w:r>
                <w:rPr>
                  <w:color w:val="1e198e"/>
                  <w:b w:val="1"/>
                  <w:bCs w:val="1"/>
                  <w:u w:val="single"/>
                </w:rPr>
                <w:t xml:space="preserve">Life is Honour. It ends when honour ends&amp;quot;: Embodying Shame in Death and the King's Horseman</w:t>
              </w:r>
            </w:hyperlink>
          </w:p>
          <w:p>
            <w:pPr/>
            <w:hyperlink r:id="rId10" w:history="1">
              <w:r>
                <w:rPr>
                  <w:color w:val="#410a8c"/>
                  <w:u w:val="single"/>
                </w:rPr>
                <w:t xml:space="preserve">Inés Bigot</w:t>
              </w:r>
            </w:hyperlink>
          </w:p>
          <w:p>
            <w:pPr/>
            <w:r>
              <w:rPr>
                <w:i w:val="1"/>
                <w:iCs w:val="1"/>
              </w:rPr>
              <w:t xml:space="preserve">Materialities of Shame in the English-Speaking World: Bodies, Artworks and Objects</w:t>
            </w:r>
            <w:r>
              <w:rPr/>
              <w:t xml:space="preserve">, Alexandra Poulain; Emmanuelle Avril, Dec 2023, Paris, France</w:t>
            </w:r>
          </w:p>
          <w:p>
            <w:pPr/>
            <w:r>
              <w:rPr/>
              <w:t xml:space="preserve">Communication dans un congrès</w:t>
            </w:r>
          </w:p>
          <w:p>
            <w:pPr/>
            <w:hyperlink r:id="rId21" w:history="1">
              <w:r>
                <w:rPr>
                  <w:color w:val="#410a8c"/>
                  <w:u w:val="single"/>
                </w:rPr>
                <w:t xml:space="preserve">hal-05157124v1</w:t>
              </w:r>
            </w:hyperlink>
          </w:p>
        </w:tc>
      </w:tr>
      <w:tr>
        <w:trPr/>
        <w:tc>
          <w:tcPr>
            <w:noWrap/>
          </w:tcPr>
          <w:p>
            <w:pPr>
              <w:spacing w:after="200"/>
            </w:pPr>
            <w:hyperlink r:id="rId22" w:history="1">
              <w:r>
                <w:rPr>
                  <w:color w:val="1e198e"/>
                  <w:b w:val="1"/>
                  <w:bCs w:val="1"/>
                  <w:u w:val="single"/>
                </w:rPr>
                <w:t xml:space="preserve">Yeats and Ninette de Valois</w:t>
              </w:r>
            </w:hyperlink>
          </w:p>
          <w:p>
            <w:pPr/>
            <w:hyperlink r:id="rId10" w:history="1">
              <w:r>
                <w:rPr>
                  <w:color w:val="#410a8c"/>
                  <w:u w:val="single"/>
                </w:rPr>
                <w:t xml:space="preserve">Inés Bigot</w:t>
              </w:r>
            </w:hyperlink>
          </w:p>
          <w:p>
            <w:pPr/>
            <w:r>
              <w:rPr>
                <w:i w:val="1"/>
                <w:iCs w:val="1"/>
              </w:rPr>
              <w:t xml:space="preserve">"Yeats and Company" (Yeats International Summer School)</w:t>
            </w:r>
            <w:r>
              <w:rPr/>
              <w:t xml:space="preserve">, Charles I. Armstrong; Lucy Collins, Jul 2022, Sligo, Ireland</w:t>
            </w:r>
          </w:p>
          <w:p>
            <w:pPr/>
            <w:r>
              <w:rPr/>
              <w:t xml:space="preserve">Communication dans un congrès</w:t>
            </w:r>
          </w:p>
          <w:p>
            <w:pPr/>
            <w:hyperlink r:id="rId22" w:history="1">
              <w:r>
                <w:rPr>
                  <w:color w:val="#410a8c"/>
                  <w:u w:val="single"/>
                </w:rPr>
                <w:t xml:space="preserve">hal-05157115v1</w:t>
              </w:r>
            </w:hyperlink>
          </w:p>
        </w:tc>
      </w:tr>
      <w:tr>
        <w:trPr/>
        <w:tc>
          <w:tcPr>
            <w:noWrap/>
          </w:tcPr>
          <w:p>
            <w:pPr>
              <w:spacing w:after="200"/>
            </w:pPr>
            <w:hyperlink r:id="rId23" w:history="1">
              <w:r>
                <w:rPr>
                  <w:color w:val="1e198e"/>
                  <w:b w:val="1"/>
                  <w:bCs w:val="1"/>
                  <w:u w:val="single"/>
                </w:rPr>
                <w:t xml:space="preserve">A Failed Ritual in Wole Soyinka's Death and the King's Horseman</w:t>
              </w:r>
            </w:hyperlink>
          </w:p>
          <w:p>
            <w:pPr/>
            <w:hyperlink r:id="rId10" w:history="1">
              <w:r>
                <w:rPr>
                  <w:color w:val="#410a8c"/>
                  <w:u w:val="single"/>
                </w:rPr>
                <w:t xml:space="preserve">Inés Bigot</w:t>
              </w:r>
            </w:hyperlink>
          </w:p>
          <w:p>
            <w:pPr/>
            <w:r>
              <w:rPr>
                <w:i w:val="1"/>
                <w:iCs w:val="1"/>
              </w:rPr>
              <w:t xml:space="preserve">Congrès de la SAES sur le thème de "Failles", atelier Postcolonial Literatures and Arts</w:t>
            </w:r>
            <w:r>
              <w:rPr/>
              <w:t xml:space="preserve">, Jun 2022, Clermont-Ferrand, France</w:t>
            </w:r>
          </w:p>
          <w:p>
            <w:pPr/>
            <w:r>
              <w:rPr/>
              <w:t xml:space="preserve">Communication dans un congrès</w:t>
            </w:r>
          </w:p>
          <w:p>
            <w:pPr/>
            <w:hyperlink r:id="rId23" w:history="1">
              <w:r>
                <w:rPr>
                  <w:color w:val="#410a8c"/>
                  <w:u w:val="single"/>
                </w:rPr>
                <w:t xml:space="preserve">hal-05157147v1</w:t>
              </w:r>
            </w:hyperlink>
          </w:p>
        </w:tc>
      </w:tr>
      <w:tr>
        <w:trPr/>
        <w:tc>
          <w:tcPr>
            <w:noWrap/>
          </w:tcPr>
          <w:p>
            <w:pPr>
              <w:spacing w:after="200"/>
            </w:pPr>
            <w:hyperlink r:id="rId24" w:history="1">
              <w:r>
                <w:rPr>
                  <w:color w:val="1e198e"/>
                  <w:b w:val="1"/>
                  <w:bCs w:val="1"/>
                  <w:u w:val="single"/>
                </w:rPr>
                <w:t xml:space="preserve">Le corps dansant comme discours subversif dans le théâtre de Wole Soyinka</w:t>
              </w:r>
            </w:hyperlink>
          </w:p>
          <w:p>
            <w:pPr/>
            <w:hyperlink r:id="rId10" w:history="1">
              <w:r>
                <w:rPr>
                  <w:color w:val="#410a8c"/>
                  <w:u w:val="single"/>
                </w:rPr>
                <w:t xml:space="preserve">Inés Bigot</w:t>
              </w:r>
            </w:hyperlink>
          </w:p>
          <w:p>
            <w:pPr/>
            <w:r>
              <w:rPr>
                <w:i w:val="1"/>
                <w:iCs w:val="1"/>
              </w:rPr>
              <w:t xml:space="preserve">Désécrire et décoloniser les imaginaires sur la scène contemporaine</w:t>
            </w:r>
            <w:r>
              <w:rPr/>
              <w:t xml:space="preserve">, Pénélope Dechaufour, Mar 2022, Montpellier, France</w:t>
            </w:r>
          </w:p>
          <w:p>
            <w:pPr/>
            <w:r>
              <w:rPr/>
              <w:t xml:space="preserve">Communication dans un congrès</w:t>
            </w:r>
          </w:p>
          <w:p>
            <w:pPr/>
            <w:hyperlink r:id="rId24" w:history="1">
              <w:r>
                <w:rPr>
                  <w:color w:val="#410a8c"/>
                  <w:u w:val="single"/>
                </w:rPr>
                <w:t xml:space="preserve">hal-05157134v1</w:t>
              </w:r>
            </w:hyperlink>
          </w:p>
        </w:tc>
      </w:tr>
      <w:tr>
        <w:trPr/>
        <w:tc>
          <w:tcPr>
            <w:noWrap/>
          </w:tcPr>
          <w:p>
            <w:pPr>
              <w:spacing w:after="200"/>
            </w:pPr>
            <w:hyperlink r:id="rId25" w:history="1">
              <w:r>
                <w:rPr>
                  <w:color w:val="1e198e"/>
                  <w:b w:val="1"/>
                  <w:bCs w:val="1"/>
                  <w:u w:val="single"/>
                </w:rPr>
                <w:t xml:space="preserve">Because I long I am not Complete&amp;quot;: Dance and Eros in the Plays of W. B. Yeats</w:t>
              </w:r>
            </w:hyperlink>
          </w:p>
          <w:p>
            <w:pPr/>
            <w:hyperlink r:id="rId10" w:history="1">
              <w:r>
                <w:rPr>
                  <w:color w:val="#410a8c"/>
                  <w:u w:val="single"/>
                </w:rPr>
                <w:t xml:space="preserve">Inés Bigot</w:t>
              </w:r>
            </w:hyperlink>
          </w:p>
          <w:p>
            <w:pPr/>
            <w:r>
              <w:rPr>
                <w:i w:val="1"/>
                <w:iCs w:val="1"/>
              </w:rPr>
              <w:t xml:space="preserve">Yeats and Eros, Yeats and Paris</w:t>
            </w:r>
            <w:r>
              <w:rPr/>
              <w:t xml:space="preserve">, Université Sorbonne Nouvelle, Dec 2019, Paris, France</w:t>
            </w:r>
          </w:p>
          <w:p>
            <w:pPr/>
            <w:r>
              <w:rPr/>
              <w:t xml:space="preserve">Communication dans un congrès</w:t>
            </w:r>
          </w:p>
          <w:p>
            <w:pPr/>
            <w:hyperlink r:id="rId25" w:history="1">
              <w:r>
                <w:rPr>
                  <w:color w:val="#410a8c"/>
                  <w:u w:val="single"/>
                </w:rPr>
                <w:t xml:space="preserve">hal-05157153v1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Danse et dissidence : dramaturgie de la résistance dans le théâtre de William Butler Yeats et de Wole Soyinka</w:t>
              </w:r>
            </w:hyperlink>
          </w:p>
          <w:p>
            <w:pPr/>
            <w:hyperlink r:id="rId10" w:history="1">
              <w:r>
                <w:rPr>
                  <w:color w:val="#410a8c"/>
                  <w:u w:val="single"/>
                </w:rPr>
                <w:t xml:space="preserve">Inés Bigot</w:t>
              </w:r>
            </w:hyperlink>
          </w:p>
          <w:p>
            <w:pPr/>
            <w:r>
              <w:rPr/>
              <w:t xml:space="preserve">Littératures. Université Sorbonne Nouvelle (Paris III), 2021. Français. </w:t>
            </w:r>
            <w:hyperlink r:id="rId27" w:history="1">
              <w:r>
                <w:rPr>
                  <w:color w:val="#410a8c"/>
                  <w:u w:val="single"/>
                </w:rPr>
                <w:t xml:space="preserve">⟨NNT : ⟩</w:t>
              </w:r>
            </w:hyperlink>
          </w:p>
          <w:p>
            <w:pPr/>
            <w:r>
              <w:rPr/>
              <w:t xml:space="preserve">Thèse</w:t>
            </w:r>
          </w:p>
          <w:p>
            <w:pPr/>
            <w:hyperlink r:id="rId26" w:history="1">
              <w:r>
                <w:rPr>
                  <w:color w:val="#410a8c"/>
                  <w:u w:val="single"/>
                </w:rPr>
                <w:t xml:space="preserve">tel-05145138v1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C90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nes-bigot" TargetMode="External"/><Relationship Id="rId8" Type="http://schemas.openxmlformats.org/officeDocument/2006/relationships/hyperlink" Target="https://www.idref.fr/260973947" TargetMode="External"/><Relationship Id="rId9" Type="http://schemas.openxmlformats.org/officeDocument/2006/relationships/hyperlink" Target="https://hal.science/hal-05146400v1" TargetMode="External"/><Relationship Id="rId10" Type="http://schemas.openxmlformats.org/officeDocument/2006/relationships/hyperlink" Target="https://hal.science/search/index/?q=*&amp;authFullName_s=In&#233;s Bigot" TargetMode="External"/><Relationship Id="rId11" Type="http://schemas.openxmlformats.org/officeDocument/2006/relationships/hyperlink" Target="https://dx.doi.org/10.4000/130gk" TargetMode="External"/><Relationship Id="rId12" Type="http://schemas.openxmlformats.org/officeDocument/2006/relationships/hyperlink" Target="https://hal.science/hal-05146398v1" TargetMode="External"/><Relationship Id="rId13" Type="http://schemas.openxmlformats.org/officeDocument/2006/relationships/hyperlink" Target="https://dx.doi.org/10.4000/miranda.53916" TargetMode="External"/><Relationship Id="rId14" Type="http://schemas.openxmlformats.org/officeDocument/2006/relationships/hyperlink" Target="https://hal.science/hal-05146396v1" TargetMode="External"/><Relationship Id="rId15" Type="http://schemas.openxmlformats.org/officeDocument/2006/relationships/hyperlink" Target="https://dx.doi.org/10.34068/IYS.05.01.03" TargetMode="External"/><Relationship Id="rId16" Type="http://schemas.openxmlformats.org/officeDocument/2006/relationships/hyperlink" Target="https://hal.science/hal-05146434v1" TargetMode="External"/><Relationship Id="rId17" Type="http://schemas.openxmlformats.org/officeDocument/2006/relationships/hyperlink" Target="https://dx.doi.org/10.4000/ces.609" TargetMode="External"/><Relationship Id="rId18" Type="http://schemas.openxmlformats.org/officeDocument/2006/relationships/hyperlink" Target="https://hal.science/hal-05146433v1" TargetMode="External"/><Relationship Id="rId19" Type="http://schemas.openxmlformats.org/officeDocument/2006/relationships/hyperlink" Target="https://dx.doi.org/10.4000/danse.2075" TargetMode="External"/><Relationship Id="rId20" Type="http://schemas.openxmlformats.org/officeDocument/2006/relationships/hyperlink" Target="https://hal.science/hal-05157142v1" TargetMode="External"/><Relationship Id="rId21" Type="http://schemas.openxmlformats.org/officeDocument/2006/relationships/hyperlink" Target="https://hal.science/hal-05157124v1" TargetMode="External"/><Relationship Id="rId22" Type="http://schemas.openxmlformats.org/officeDocument/2006/relationships/hyperlink" Target="https://hal.science/hal-05157115v1" TargetMode="External"/><Relationship Id="rId23" Type="http://schemas.openxmlformats.org/officeDocument/2006/relationships/hyperlink" Target="https://hal.science/hal-05157147v1" TargetMode="External"/><Relationship Id="rId24" Type="http://schemas.openxmlformats.org/officeDocument/2006/relationships/hyperlink" Target="https://hal.science/hal-05157134v1" TargetMode="External"/><Relationship Id="rId25" Type="http://schemas.openxmlformats.org/officeDocument/2006/relationships/hyperlink" Target="https://hal.science/hal-05157153v1" TargetMode="External"/><Relationship Id="rId26" Type="http://schemas.openxmlformats.org/officeDocument/2006/relationships/hyperlink" Target="https://hal.science/tel-05145138v1" TargetMode="External"/><Relationship Id="rId27" Type="http://schemas.openxmlformats.org/officeDocument/2006/relationships/hyperlink" Target="https://www.theses.fr/"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Inés Bigot</dc:title>
  <dc:description>CV</dc:description>
  <dc:subject/>
  <cp:keywords/>
  <cp:category/>
  <cp:lastModifiedBy/>
  <dcterms:created xsi:type="dcterms:W3CDTF">2026-04-05T01:41:19+02:00</dcterms:created>
  <dcterms:modified xsi:type="dcterms:W3CDTF">2026-04-05T01:41:19+02:00</dcterms:modified>
</cp:coreProperties>
</file>

<file path=docProps/custom.xml><?xml version="1.0" encoding="utf-8"?>
<Properties xmlns="http://schemas.openxmlformats.org/officeDocument/2006/custom-properties" xmlns:vt="http://schemas.openxmlformats.org/officeDocument/2006/docPropsVTypes"/>
</file>