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Irene Ramos </w:t>
      </w:r>
      <w:r>
        <w:rPr>
          <w:color w:val="641e6e"/>
        </w:rPr>
        <w:t xml:space="preserve">Doctorante en sociologie à l'Université Paris 1 Panthéon-Sorbonne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salir les mains pour les autres. Métiers de femme et division morale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Ramos 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2020, 1 (43), pp.85-102.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⟨10.3917/tgs.043.0085⟩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hal-03591005v1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91005v1" TargetMode="External"/><Relationship Id="rId8" Type="http://schemas.openxmlformats.org/officeDocument/2006/relationships/hyperlink" Target="https://hal.science/search/index/?q=*&amp;authFullName_s=Christelle Avril" TargetMode="External"/><Relationship Id="rId9" Type="http://schemas.openxmlformats.org/officeDocument/2006/relationships/hyperlink" Target="https://hal.science/search/index/?q=*&amp;authFullName_s=Irene Ramos Vacca" TargetMode="External"/><Relationship Id="rId10" Type="http://schemas.openxmlformats.org/officeDocument/2006/relationships/hyperlink" Target="https://dx.doi.org/10.3917/tgs.043.0085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Ramos</dc:title>
  <dc:description>CV</dc:description>
  <dc:subject/>
  <cp:keywords/>
  <cp:category/>
  <cp:lastModifiedBy/>
  <dcterms:created xsi:type="dcterms:W3CDTF">2026-04-05T14:30:24+02:00</dcterms:created>
  <dcterms:modified xsi:type="dcterms:W3CDTF">2026-04-05T14:30:24+02:00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