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picot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Situation actuelle</w:t></w:r></w:p><w:p><w:pPr/><w:r><w:rPr><w:b w:val="1"/><w:bCs w:val="1"/></w:rPr><w:t xml:space="preserve">Depuis sept. 2018</w:t></w:r><w:r><w:rPr/><w:t xml:space="preserve"> Préparation d’une thèse sur six chapelles peintes de la région tibétaine du Minyag au Tibet oriental intitulée « Lieux sacrés, lieux d’images: les chapelles peintes du Minyag au Tibet oriental » (Places made of images: the Tibetan shrines of Minyag), Ecole Doctorale 472 mention HTD (Histoire Textes, Documents), Ecole Pratique des Hautes Etudes-Université PSL, sous la direction de C. Ramble (EPHE) et P.O. Dittmar (EHESS). Tutrice : L. Bruneau (EPHE).</w:t></w:r></w:p><w:p><w:pPr/><w:r><w:rPr><w:b w:val="1"/><w:bCs w:val="1"/></w:rPr><w:t xml:space="preserve">Jusqu’à sept. 2021</w:t></w:r></w:p><w:p><w:pPr><w:numPr><w:ilvl w:val="0"/><w:numId w:val="1"/></w:numPr></w:pPr><w:r><w:rPr/><w:t xml:space="preserve">Contrat doctoral ED 472 (sept.2018-sept 2021)</w:t></w:r></w:p><w:p><w:pPr><w:numPr><w:ilvl w:val="0"/><w:numId w:val="1"/></w:numPr></w:pPr><w:r><w:rPr/><w:t xml:space="preserve">Assistant de recherche (depuis sept. 2020, 4h par semaine) pour le projet « Archéologie de l'Himalaya: culture matérielle et réseaux du passé&amp;quot;, dispositif 'Emergence(s)' de la Ville de Paris (2020-2023), dirigé par Laurianne Bruneau (EPHE / CRCAO).</w:t></w:r></w:p><w:p><w:pPr><w:pStyle w:val="Heading4"/></w:pPr><w:r><w:rPr/><w:t xml:space="preserve">Etudes tibétaines</w:t></w:r></w:p><w:p><w:pPr/><w:r><w:rPr><w:b w:val="1"/><w:bCs w:val="1"/></w:rPr><w:t xml:space="preserve">Août 2019</w:t></w:r><w:r><w:rPr/><w:t xml:space="preserve"> Frogbear International & Intensive Program on Buddhism (Oxford)</w:t></w:r></w:p><w:p><w:pPr/><w:r><w:rPr><w:b w:val="1"/><w:bCs w:val="1"/></w:rPr><w:t xml:space="preserve">2018-2019</w:t></w:r><w:r><w:rPr/><w:t xml:space="preserve"> Tibet University(Lhassa) cours de tibétain parlé (dialecte de Lhassa) et lecture du tibétain classique.</w:t></w:r></w:p><w:p><w:pPr/><w:r><w:rPr><w:b w:val="1"/><w:bCs w:val="1"/></w:rPr><w:t xml:space="preserve">2017-2019</w:t></w:r><w:r><w:rPr/><w:t xml:space="preserve"> IATS : Secrétaire administratif pour l’organisation de la 15e édition du colloque de l’International Association for Tibetan Studies sous la direction de F. Robin (INALCO) et M. Kapstein (EPHE).</w:t></w:r></w:p><w:p><w:pPr/><w:r><w:rPr><w:b w:val="1"/><w:bCs w:val="1"/></w:rPr><w:t xml:space="preserve">2017-2018</w:t></w:r><w:r><w:rPr/><w:t xml:space="preserve"> INALCO  L3 de Tibétain mention « Langues et Civilisations ».</w:t></w:r></w:p><w:p><w:pPr/><w:r><w:rPr/><w:t xml:space="preserve">EPHE-PSL M2 « Etudes Asiatiques », « Le mchod-khang de la famille bsTan-‘dzin : un exemple de chapelle bouddhique domestique du XVe siècle » (sous la direction de L. Bruneau et C. Ramble note : 16).</w:t></w:r></w:p><w:p><w:pPr/><w:r><w:rPr><w:b w:val="1"/><w:bCs w:val="1"/></w:rPr><w:t xml:space="preserve">2016-2017</w:t></w:r><w:r><w:rPr/><w:t xml:space="preserve"> : INALCO L1 et L2 de Tibétain mention « Langues et Civilisations ».</w:t></w:r></w:p><w:p><w:pPr/><w:r><w:rPr/><w:t xml:space="preserve">EPHE-PSL M1 « Etudes Asiatiques » : « L’image et le lieu rituel dans le bouddhisme tibétain : l’exemple des gtsug-lag-khang au XIe siècle » (sous la direction de L. Bruneau, note : 17). Revue de travaux sur le statut et les fonctions des images dans le monde tibétain en relation avec les lieux rituels.</w:t></w:r></w:p><w:p><w:pPr><w:pStyle w:val="Heading4"/></w:pPr><w:r><w:rPr/><w:t xml:space="preserve">Terrains</w:t></w:r></w:p><w:p><w:pPr/><w:r><w:rPr><w:b w:val="1"/><w:bCs w:val="1"/></w:rPr><w:t xml:space="preserve">2018-2019</w:t></w:r><w:r><w:rPr/><w:t xml:space="preserve"> Tibet central, séjour de 18 mois à Lhassa. Nombreuses visites de temples et de sites en compagnie d’enseignants-chercheurs de l’Université du Tibet.</w:t></w:r></w:p><w:p><w:pPr/><w:r><w:rPr><w:b w:val="1"/><w:bCs w:val="1"/></w:rPr><w:t xml:space="preserve">2017-2019</w:t></w:r><w:r><w:rPr/><w:t xml:space="preserve"> Minyag, région tibétaine du Sichuan, 4 mois: août 2017, août 2018, février-mars 2019& septembre 2019.</w:t></w:r></w:p><w:p><w:pPr/><w:r><w:rPr><w:b w:val="1"/><w:bCs w:val="1"/></w:rPr><w:t xml:space="preserve">Sep. 2018</w:t></w:r><w:r><w:rPr/><w:t xml:space="preserve"> Dunhuang, participation au voyage d’étude sur les peintures murales bouddhiques organisé par l’Ecole des Beaux-arts de Paris.</w:t></w:r></w:p><w:p><w:pPr/><w:r><w:rPr><w:b w:val="1"/><w:bCs w:val="1"/></w:rPr><w:t xml:space="preserve">Depuis 2005</w:t></w:r><w:r><w:rPr/><w:t xml:space="preserve"> Himalaya, nombreux séjours : Arunachal-Pradesh (2014), Ladakh (2009,2011,2014), Spiti (2014), Mustang (2011), Népal (2008), Tibet de l’est et du nord (2007,2012,2014,2015), Baltistan (2005), Pamir (2007,2016).</w:t></w:r></w:p><w:p><w:pPr><w:pStyle w:val="Heading4"/></w:pPr><w:r><w:rPr/><w:t xml:space="preserve">Bourses et financements</w:t></w:r></w:p><w:p><w:pPr/><w:r><w:rPr/><w:t xml:space="preserve">2020 Centre de Recherche sur les Civilisations de l’Asie Orientale (CRCAO UMR8055) bourse de terrain, utilisation en attente de l’amélioration de la situation sanitaire.</w:t></w:r></w:p><w:p><w:pPr/><w:r><w:rPr/><w:t xml:space="preserve">2019 Aide fondation Glorisun, bourse CRCAO pour participation au programme d’été sur le bouddhisme (Oxford) et intervention à l’ICAS (Leyde).</w:t></w:r></w:p><w:p><w:pPr/><w:r><w:rPr/><w:t xml:space="preserve">2018 Bourses Fondation Flora Blanchon (Institut de France)/ Bourse mobilité EPHE financement des terrains de thèse</w:t></w:r></w:p><w:p><w:pPr/><w:r><w:rPr/><w:t xml:space="preserve">2017 Prix Centre interdisciplinaire d’étude du bouddhisme (CEIB) et Fondation Fo Guang (1er prix), bourse CRCAO (UMR8055) financement terrain de recherche.</w:t></w:r></w:p><w:p><w:pPr><w:pStyle w:val="Heading4"/></w:pPr><w:r><w:rPr/><w:t xml:space="preserve">Autres expériences professionnelles et universitaires</w:t></w:r></w:p><w:p><w:pPr/><w:r><w:rPr/><w:t xml:space="preserve">Employé de 2009 à 2016 par le groupe Saint-Gobain dans la filiale PUM Plastiques spécialisée dans le négoce de matériaux de construction pour les professionnels du bâtiment.</w:t></w:r></w:p><w:p><w:pPr><w:numPr><w:ilvl w:val="0"/><w:numId w:val="2"/></w:numPr></w:pPr><w:r><w:rPr/><w:t xml:space="preserve">2014-2016</w:t></w:r></w:p><w:p><w:pPr/><w:r><w:rPr/><w:t xml:space="preserve">Responsable web et digital (Reims, siège social). A la tête d’une équipe de 4 personnes, transformation du modèle de PUM plastiques en créant une offre en « ligne » articulée à l’offre traditionnelle en magasin.</w:t></w:r></w:p><w:p><w:pPr><w:numPr><w:ilvl w:val="0"/><w:numId w:val="3"/></w:numPr></w:pPr><w:r><w:rPr/><w:t xml:space="preserve">2014</w:t></w:r></w:p><w:p><w:pPr/><w:r><w:rPr/><w:t xml:space="preserve">Congé Sabbatique : 10 mois consacrés à des séjours dans des régions isolées de l’Extrême Orient russe et du Tibet.</w:t></w:r></w:p><w:p><w:pPr><w:numPr><w:ilvl w:val="0"/><w:numId w:val="4"/></w:numPr></w:pPr><w:r><w:rPr/><w:t xml:space="preserve">2011- 2013</w:t></w:r></w:p><w:p><w:pPr/><w:r><w:rPr/><w:t xml:space="preserve">Responsable d’agence Lagny-sur-Marne (77) et Chennevières (94) : Gestion de deux points de vente de 11 personnes avec une forte activité.</w:t></w:r></w:p><w:p><w:pPr><w:numPr><w:ilvl w:val="0"/><w:numId w:val="5"/></w:numPr></w:pPr><w:r><w:rPr/><w:t xml:space="preserve">2010- 2011</w:t></w:r></w:p><w:p><w:pPr/><w:r><w:rPr/><w:t xml:space="preserve">Cadre Commercial Agence de Malakoff : Gestion, développement et fidélisation d’un portefeuille clients.</w:t></w:r></w:p><w:p><w:pPr><w:numPr><w:ilvl w:val="0"/><w:numId w:val="6"/></w:numPr></w:pPr><w:r><w:rPr/><w:t xml:space="preserve">2009-2010</w:t></w:r></w:p><w:p><w:pPr/><w:r><w:rPr/><w:t xml:space="preserve">Attaché à la direction commerciale (Reims, siège social) : Réalisation d’études de marché, conception de formations techniques en ligne.</w:t></w:r></w:p><w:p><w:pPr><w:numPr><w:ilvl w:val="0"/><w:numId w:val="7"/></w:numPr></w:pPr><w:r><w:rPr/><w:t xml:space="preserve">2005</w:t></w:r></w:p><w:p><w:pPr/><w:r><w:rPr/><w:t xml:space="preserve">MGIMO (Russie) : Semestre d’échange à l’Institut d'État des relations internationales de Moscou</w:t></w:r></w:p><w:p><w:pPr><w:numPr><w:ilvl w:val="0"/><w:numId w:val="8"/></w:numPr></w:pPr><w:r><w:rPr/><w:t xml:space="preserve">2004-2008</w:t></w:r></w:p><w:p><w:pPr/><w:r><w:rPr/><w:t xml:space="preserve">HEC Paris : Master 2 en gestion.</w:t></w:r></w:p><w:p><w:pPr><w:pStyle w:val="Heading4"/></w:pPr><w:r><w:rPr/><w:t xml:space="preserve">Langues</w:t></w:r></w:p><w:p><w:pPr/><w:r><w:rPr/><w:t xml:space="preserve">Anglais Courant</w:t></w:r></w:p><w:p><w:pPr/><w:r><w:rPr/><w:t xml:space="preserve">Russe  Parlé, lu, écrit intermédiaire (3 ans d’étude, un an de séjour à Moscou).</w:t></w:r></w:p><w:p><w:pPr/><w:r><w:rPr/><w:t xml:space="preserve">Tibétain Lecture du tibétain classique et dialecte de Lhassa intermédiaire (licence et trois semestres d’étude àLhassa)</w:t></w:r></w:p><w:p><w:pPr/><w:r><w:rPr/><w:t xml:space="preserve">Chinois Elémentaire(HSK4 en préparation).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Places Made of Images. The Domestic Shrines of Minyak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9" w:history="1"><w:r><w:rPr><w:color w:val="#410a8c"/><w:u w:val="single"/></w:rPr><w:t xml:space="preserve">⟨10.4000/15h7l⟩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hal-05453596v1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 images claires dans des pièces obscures. Les représentations de la Jātakamālā au Tibet oriental (1450-1550)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Perspective - la revue de l'INHA : actualités de la recherche en histoire de l'art</w:t></w:r><w:r><w:rPr/><w:t xml:space="preserve">, 2022, 2, pp.215-228. </w:t></w:r><w:hyperlink r:id="rId11" w:history="1"><w:r><w:rPr><w:color w:val="#410a8c"/><w:u w:val="single"/></w:rPr><w:t xml:space="preserve">⟨10.4000/perspective.27959⟩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hal-03831750v1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S’il fallait les nommer une par une, cela dépasserait la mesure ». Une esthétique du trop dans les images tibétaines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Message ou bruit ? De la lisibilité des images</w:t></w:r><w:r><w:rPr/><w:t xml:space="preserve">, Centre allemand d’histoire de l’art (DFK Paris), Sep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hal-04208546v1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Minyak Jigsaw: Spreading, Shuffling and Reordering an Iconography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16th Seminar of the International Association fo Tibetan Studies (IATS 2022)</w:t></w:r><w:r><w:rPr/><w:t xml:space="preserve">, Jul 2022, Prague, Czech Republic</w:t></w:r></w:p><w:p><w:pPr/><w:r><w:rPr/><w:t xml:space="preserve">Communication dans un congrès</w:t></w:r></w:p><w:p><w:pPr/><w:hyperlink r:id="rId13" w:history="1"><w:r><w:rPr><w:color w:val="#410a8c"/><w:u w:val="single"/></w:rPr><w:t xml:space="preserve">hal-03754883v1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images sous la boue: les chapelles peintes du Minyak (Tibet oriental)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Cycle de conférences de la SEECHAC</w:t></w:r><w:r><w:rPr/><w:t xml:space="preserve">, Mar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hal-03754882v1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Deccan au Khams: la mise en image de la Guirlande des vies passées (Jātakamālā) et sa diffusion au Tibet oriental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Cycle de conférence de la SFEMT</w:t></w:r><w:r><w:rPr/><w:t xml:space="preserve">, Apr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hal-03217349v1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Placer le Minyak Rabgang sur une carte (XIIIe-XVIe siècles)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Journée doctorale SFEMT : Recherches en cours sur l’aire culturelle tibétaine</w:t></w:r><w:r><w:rPr/><w:t xml:space="preserve">, Jun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hal-03253225v1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Murals and Sacred Spaces in the Kargyab Family’s Domestic Shrine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International Convention of Asia Scholars (11th edition)</w:t></w:r><w:r><w:rPr/><w:t xml:space="preserve">, Jul 2019, LEIDEN, Netherlands</w:t></w:r></w:p><w:p><w:pPr/><w:r><w:rPr/><w:t xml:space="preserve">Communication dans un congrès</w:t></w:r></w:p><w:p><w:pPr/><w:hyperlink r:id="rId17" w:history="1"><w:r><w:rPr><w:color w:val="#410a8c"/><w:u w:val="single"/></w:rPr><w:t xml:space="preserve">hal-03206920v1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Khargyab Family Chökhang: A Domestic Shrine on the Eastern Tibetan Margins (15th-16th Centuries)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Journée d'étude "Iconographie du bouddhisme tantrique"</w:t></w:r><w:r><w:rPr/><w:t xml:space="preserve">, Sep 2018,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hal-03206912v1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Places made of Images : the Domestic Shrines of Minyak</w:t></w:r></w:hyperlink></w:p><w:p><w:pPr/><w:hyperlink r:id="rId8" w:history="1"><w:r><w:rPr><w:color w:val="#410a8c"/><w:u w:val="single"/></w:rPr><w:t xml:space="preserve">Jean-Baptiste Georges-Picot</w:t></w:r></w:hyperlink></w:p><w:p><w:pPr/><w:r><w:rPr/><w:t xml:space="preserve">History. Université Paris sciences et lettres, 2024. English. </w:t></w:r><w:hyperlink r:id="rId20" w:history="1"><w:r><w:rPr><w:color w:val="#410a8c"/><w:u w:val="single"/></w:rPr><w:t xml:space="preserve">⟨NNT : 2024UPSLP037⟩</w:t></w:r></w:hyperlink></w:p><w:p><w:pPr/><w:r><w:rPr/><w:t xml:space="preserve">Thèse</w:t></w:r></w:p><w:p><w:pPr/><w:hyperlink r:id="rId19" w:history="1"><w:r><w:rPr><w:color w:val="#410a8c"/><w:u w:val="single"/></w:rPr><w:t xml:space="preserve">tel-05024999v1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B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2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C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2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C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1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6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F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96v1" TargetMode="External"/><Relationship Id="rId8" Type="http://schemas.openxmlformats.org/officeDocument/2006/relationships/hyperlink" Target="https://hal.science/search/index/?q=*&amp;authFullName_s=Jean-Baptiste Georges-Picot" TargetMode="External"/><Relationship Id="rId9" Type="http://schemas.openxmlformats.org/officeDocument/2006/relationships/hyperlink" Target="https://dx.doi.org/10.4000/15h7l" TargetMode="External"/><Relationship Id="rId10" Type="http://schemas.openxmlformats.org/officeDocument/2006/relationships/hyperlink" Target="https://hal.science/hal-03831750v1" TargetMode="External"/><Relationship Id="rId11" Type="http://schemas.openxmlformats.org/officeDocument/2006/relationships/hyperlink" Target="https://dx.doi.org/10.4000/perspective.27959" TargetMode="External"/><Relationship Id="rId12" Type="http://schemas.openxmlformats.org/officeDocument/2006/relationships/hyperlink" Target="https://hal.science/hal-04208546v1" TargetMode="External"/><Relationship Id="rId13" Type="http://schemas.openxmlformats.org/officeDocument/2006/relationships/hyperlink" Target="https://hal.science/hal-03754883v1" TargetMode="External"/><Relationship Id="rId14" Type="http://schemas.openxmlformats.org/officeDocument/2006/relationships/hyperlink" Target="https://hal.science/hal-03754882v1" TargetMode="External"/><Relationship Id="rId15" Type="http://schemas.openxmlformats.org/officeDocument/2006/relationships/hyperlink" Target="https://hal.science/hal-03217349v1" TargetMode="External"/><Relationship Id="rId16" Type="http://schemas.openxmlformats.org/officeDocument/2006/relationships/hyperlink" Target="https://hal.science/hal-03253225v1" TargetMode="External"/><Relationship Id="rId17" Type="http://schemas.openxmlformats.org/officeDocument/2006/relationships/hyperlink" Target="https://hal.science/hal-03206920v1" TargetMode="External"/><Relationship Id="rId18" Type="http://schemas.openxmlformats.org/officeDocument/2006/relationships/hyperlink" Target="https://hal.science/hal-03206912v1" TargetMode="External"/><Relationship Id="rId19" Type="http://schemas.openxmlformats.org/officeDocument/2006/relationships/hyperlink" Target="https://theses.hal.science/tel-05024999v1" TargetMode="External"/><Relationship Id="rId20" Type="http://schemas.openxmlformats.org/officeDocument/2006/relationships/hyperlink" Target="https://www.theses.fr/2024UPSLP03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picot</dc:title>
  <dc:description>CV</dc:description>
  <dc:subject/>
  <cp:keywords/>
  <cp:category/>
  <cp:lastModifiedBy/>
  <dcterms:created xsi:type="dcterms:W3CDTF">2026-03-19T12:49:43+01:00</dcterms:created>
  <dcterms:modified xsi:type="dcterms:W3CDTF">2026-03-19T12:49:43+01:00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