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LEGENDRE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constitutionnel français mis en péril par des relations financières laborieuses entre l’État et les collectivités territoriales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cadeaux protocolaires à la recherche d'un statut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2022, 02, pp.351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halshs-04257245v1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date à l'autre : les conséquences du report du second tour des élections municipales sur les finances publiques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L’équilibre entre l’Union et les États membres. L’appréhension nationale de la relance : l’exemple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plan de relance européen et l'impératif de transition écologique et numérique</w:t>
            </w:r>
            <w:r>
              <w:rPr/>
              <w:t xml:space="preserve">, Bruylant, pp.223-233, 2025, Collection droit de l'Union Européenne, 978-2-8027-7422-8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hal-05387484v1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8099v1" TargetMode="External"/><Relationship Id="rId8" Type="http://schemas.openxmlformats.org/officeDocument/2006/relationships/hyperlink" Target="https://hal.science/search/index/?q=*&amp;authFullName_s=Jean-Baptiste Legendre" TargetMode="External"/><Relationship Id="rId9" Type="http://schemas.openxmlformats.org/officeDocument/2006/relationships/hyperlink" Target="https://shs.hal.science/halshs-04257245v1" TargetMode="External"/><Relationship Id="rId10" Type="http://schemas.openxmlformats.org/officeDocument/2006/relationships/hyperlink" Target="https://hal.science/hal-04618089v1" TargetMode="External"/><Relationship Id="rId11" Type="http://schemas.openxmlformats.org/officeDocument/2006/relationships/hyperlink" Target="https://hal.science/hal-05387484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LEGENDRE</dc:title>
  <dc:description>CV</dc:description>
  <dc:subject/>
  <cp:keywords/>
  <cp:category/>
  <cp:lastModifiedBy/>
  <dcterms:created xsi:type="dcterms:W3CDTF">2026-04-08T02:47:36+02:00</dcterms:created>
  <dcterms:modified xsi:type="dcterms:W3CDTF">2026-04-08T02:47:36+02:00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