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Brachet </w:t>
      </w:r>
      <w:r>
        <w:rPr>
          <w:color w:val="641e6e"/>
        </w:rPr>
        <w:t xml:space="preserve">MCF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jean-paul-brachet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0000-0002-1669-089X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058577254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Jean-Paul BRACHET</w:t>
      </w:r>
    </w:p>
    <w:p>
      <w:pPr/>
      <w:r>
        <w:rPr/>
        <w:t xml:space="preserve">Né en 1968</w:t>
      </w:r>
    </w:p>
    <w:p>
      <w:pPr/>
      <w:r>
        <w:rPr/>
        <w:t xml:space="preserve">Parcours universitaire :**</w:t>
      </w:r>
    </w:p>
    <w:p>
      <w:pPr/>
      <w:r>
        <w:rPr/>
        <w:t xml:space="preserve">Ø Ancien élève de l'École Normale Supérieure (1988-1993).</w:t>
      </w:r>
    </w:p>
    <w:p>
      <w:pPr/>
      <w:r>
        <w:rPr/>
        <w:t xml:space="preserve">Ø Agrégé de grammaire (1991, rang 1).</w:t>
      </w:r>
    </w:p>
    <w:p>
      <w:pPr/>
      <w:r>
        <w:rPr/>
        <w:t xml:space="preserve">Ø Docteur ; thèse préparée à Paris IV sous la direction de Cl. Moussy :</w:t>
      </w:r>
    </w:p>
    <w:p>
      <w:pPr/>
      <w:r>
        <w:rPr>
          <w:i w:val="1"/>
          <w:iCs w:val="1"/>
        </w:rPr>
        <w:t xml:space="preserve">Les préverbes</w:t>
      </w:r>
      <w:r>
        <w:rPr/>
        <w:t xml:space="preserve"> ab-, dē-, ex- </w:t>
      </w:r>
      <w:r>
        <w:rPr>
          <w:i w:val="1"/>
          <w:iCs w:val="1"/>
        </w:rPr>
        <w:t xml:space="preserve">du latin : étude linguistique</w:t>
      </w:r>
      <w:r>
        <w:rPr/>
        <w:t xml:space="preserve"> ;</w:t>
      </w:r>
    </w:p>
    <w:p>
      <w:pPr/>
      <w:r>
        <w:rPr/>
        <w:t xml:space="preserve">soutenue le 7 décembre 1996, mention « très honorable » et félicitations du jury.</w:t>
      </w:r>
    </w:p>
    <w:p>
      <w:pPr/>
      <w:r>
        <w:rPr/>
        <w:t xml:space="preserve">Ø Habilitation à diriger des recherches (dossier dirigé par D. Briquel, soutenance à Paris IV le 30 juin 2010) : </w:t>
      </w:r>
      <w:r>
        <w:rPr>
          <w:i w:val="1"/>
          <w:iCs w:val="1"/>
        </w:rPr>
        <w:t xml:space="preserve">De origine significationum</w:t>
      </w:r>
      <w:r>
        <w:rPr/>
        <w:t xml:space="preserve">. De la généalogie des significations. Exemples dans le domaine latin.</w:t>
      </w:r>
    </w:p>
    <w:p>
      <w:pPr/>
      <w:r>
        <w:rPr/>
        <w:t xml:space="preserve">Ø Qualifié aux fonctions de professeur des Universités par le CNU en 2012 et en 2017.</w:t>
      </w:r>
    </w:p>
    <w:p>
      <w:pPr/>
      <w:r>
        <w:rPr>
          <w:b w:val="1"/>
          <w:bCs w:val="1"/>
        </w:rPr>
        <w:t xml:space="preserve">parcours professionnel :</w:t>
      </w:r>
    </w:p>
    <w:p>
      <w:pPr/>
      <w:r>
        <w:rPr/>
        <w:t xml:space="preserve">Ø Maître de conférences de latin à l’Université de Paris IV-Sorbonne depuis septembre 2000.</w:t>
      </w:r>
    </w:p>
    <w:p>
      <w:pPr/>
      <w:r>
        <w:rPr/>
        <w:t xml:space="preserve">Ø Maître de conférences de latin à l’Université de Rennes II de 1997 à 2000.</w:t>
      </w:r>
    </w:p>
    <w:p>
      <w:pPr/>
      <w:r>
        <w:rPr/>
        <w:t xml:space="preserve">Ø Allocataire-Moniteur Normalien à l’Université de Lyon II, en latin, de 1994 à 1997.</w:t>
      </w:r>
    </w:p>
    <w:p>
      <w:pPr/>
      <w:r>
        <w:rPr>
          <w:b w:val="1"/>
          <w:bCs w:val="1"/>
        </w:rPr>
        <w:t xml:space="preserve">PUBLICATIONS :</w:t>
      </w:r>
    </w:p>
    <w:p>
      <w:pPr/>
      <w:r>
        <w:rPr>
          <w:b w:val="1"/>
          <w:bCs w:val="1"/>
        </w:rPr>
        <w:t xml:space="preserve">• Livres :</w:t>
      </w:r>
    </w:p>
    <w:p>
      <w:pPr/>
      <w:r>
        <w:rPr/>
        <w:t xml:space="preserve">Ø </w:t>
      </w:r>
      <w:r>
        <w:rPr>
          <w:i w:val="1"/>
          <w:iCs w:val="1"/>
        </w:rPr>
        <w:t xml:space="preserve">Le salut par la traversée de l’eau. Étude sur la tradition latine et indo-européenne</w:t>
      </w:r>
      <w:r>
        <w:rPr/>
        <w:t xml:space="preserve">, Paris, L’Harmattan, 2012. 94 p.</w:t>
      </w:r>
    </w:p>
    <w:p>
      <w:pPr/>
      <w:r>
        <w:rPr/>
        <w:t xml:space="preserve">Ø </w:t>
      </w:r>
      <w:r>
        <w:rPr>
          <w:i w:val="1"/>
          <w:iCs w:val="1"/>
        </w:rPr>
        <w:t xml:space="preserve">Recherches sur les préverbes</w:t>
      </w:r>
      <w:r>
        <w:rPr/>
        <w:t xml:space="preserve"> de- </w:t>
      </w:r>
      <w:r>
        <w:rPr>
          <w:i w:val="1"/>
          <w:iCs w:val="1"/>
        </w:rPr>
        <w:t xml:space="preserve">et</w:t>
      </w:r>
      <w:r>
        <w:rPr/>
        <w:t xml:space="preserve"> ex- </w:t>
      </w:r>
      <w:r>
        <w:rPr>
          <w:i w:val="1"/>
          <w:iCs w:val="1"/>
        </w:rPr>
        <w:t xml:space="preserve">du latin</w:t>
      </w:r>
      <w:r>
        <w:rPr/>
        <w:t xml:space="preserve">, Collection Latomus (vol. 258), Bruxelles, 2000. 400 p.</w:t>
      </w:r>
    </w:p>
    <w:p>
      <w:pPr/>
      <w:r>
        <w:rPr/>
        <w:t xml:space="preserve">• Contribution à un ouvrage collectif :</w:t>
      </w:r>
    </w:p>
    <w:p>
      <w:pPr/>
      <w:r>
        <w:rPr/>
        <w:t xml:space="preserve">Article « latin » dans le </w:t>
      </w:r>
      <w:r>
        <w:rPr>
          <w:i w:val="1"/>
          <w:iCs w:val="1"/>
        </w:rPr>
        <w:t xml:space="preserve">Dictionnaire des langues</w:t>
      </w:r>
      <w:r>
        <w:rPr/>
        <w:t xml:space="preserve">, PUF, 2011 (sous la direction de E. Bonvini, J. Busuttil, A. Peyraube), p. 521-540.</w:t>
      </w:r>
    </w:p>
    <w:p>
      <w:pPr/>
      <w:r>
        <w:rPr>
          <w:b w:val="1"/>
          <w:bCs w:val="1"/>
        </w:rPr>
        <w:t xml:space="preserve">• Articles parus :</w:t>
      </w:r>
    </w:p>
    <w:p>
      <w:pPr/>
      <w:r>
        <w:rPr>
          <w:b w:val="1"/>
          <w:bCs w:val="1"/>
        </w:rPr>
        <w:t xml:space="preserve">35)</w:t>
      </w:r>
      <w:r>
        <w:rPr/>
        <w:t xml:space="preserve"> « Pensée, parole, action chez Cicéron : un héritage formulaire ? », </w:t>
      </w:r>
      <w:r>
        <w:rPr>
          <w:i w:val="1"/>
          <w:iCs w:val="1"/>
        </w:rPr>
        <w:t xml:space="preserve">Revue des Études latines</w:t>
      </w:r>
      <w:r>
        <w:rPr/>
        <w:t xml:space="preserve">, 99, 2021, p. 53-67.</w:t>
      </w:r>
    </w:p>
    <w:p>
      <w:pPr/>
      <w:r>
        <w:rPr>
          <w:b w:val="1"/>
          <w:bCs w:val="1"/>
        </w:rPr>
        <w:t xml:space="preserve">34)</w:t>
      </w:r>
      <w:r>
        <w:rPr/>
        <w:t xml:space="preserve"> « Cicéron anadyomène », </w:t>
      </w:r>
      <w:r>
        <w:rPr>
          <w:i w:val="1"/>
          <w:iCs w:val="1"/>
        </w:rPr>
        <w:t xml:space="preserve">Operae pretium facimus</w:t>
      </w:r>
      <w:r>
        <w:rPr/>
        <w:t xml:space="preserve">. Mélanges en l’honneur de Charles Guittard, Paris, L’Harmattan, 2021, p. 59-66.</w:t>
      </w:r>
    </w:p>
    <w:p>
      <w:pPr/>
      <w:r>
        <w:rPr>
          <w:b w:val="1"/>
          <w:bCs w:val="1"/>
        </w:rPr>
        <w:t xml:space="preserve">33)</w:t>
      </w:r>
      <w:r>
        <w:rPr/>
        <w:t xml:space="preserve"> « Le substantif latin </w:t>
      </w:r>
      <w:r>
        <w:rPr>
          <w:i w:val="1"/>
          <w:iCs w:val="1"/>
        </w:rPr>
        <w:t xml:space="preserve">mundus</w:t>
      </w:r>
      <w:r>
        <w:rPr/>
        <w:t xml:space="preserve"> : un avatar de l’étrusque </w:t>
      </w:r>
      <w:r>
        <w:rPr>
          <w:i w:val="1"/>
          <w:iCs w:val="1"/>
        </w:rPr>
        <w:t xml:space="preserve">mutna</w:t>
      </w:r>
      <w:r>
        <w:rPr/>
        <w:t xml:space="preserve"> ? », </w:t>
      </w:r>
      <w:r>
        <w:rPr>
          <w:i w:val="1"/>
          <w:iCs w:val="1"/>
        </w:rPr>
        <w:t xml:space="preserve">Graeco-Latina Brunensia</w:t>
      </w:r>
      <w:r>
        <w:rPr/>
        <w:t xml:space="preserve">, 23/2, 2018, p. 13-24.</w:t>
      </w:r>
    </w:p>
    <w:p>
      <w:pPr/>
      <w:r>
        <w:rPr>
          <w:b w:val="1"/>
          <w:bCs w:val="1"/>
        </w:rPr>
        <w:t xml:space="preserve">32)</w:t>
      </w:r>
      <w:r>
        <w:rPr/>
        <w:t xml:space="preserve"> « </w:t>
      </w:r>
      <w:r>
        <w:rPr>
          <w:i w:val="1"/>
          <w:iCs w:val="1"/>
        </w:rPr>
        <w:t xml:space="preserve">Dēportātio</w:t>
      </w:r>
      <w:r>
        <w:rPr/>
        <w:t xml:space="preserve"> </w:t>
      </w:r>
      <w:r>
        <w:rPr>
          <w:i w:val="1"/>
          <w:iCs w:val="1"/>
        </w:rPr>
        <w:t xml:space="preserve">exercitūs</w:t>
      </w:r>
      <w:r>
        <w:rPr/>
        <w:t xml:space="preserve">. Le retour victorieux de l’armée dans la mentalité romaine archaïque : une victoire sur la mort. Étude lexicale et idéologique », </w:t>
      </w:r>
      <w:r>
        <w:rPr>
          <w:i w:val="1"/>
          <w:iCs w:val="1"/>
        </w:rPr>
        <w:t xml:space="preserve">Wékwos</w:t>
      </w:r>
      <w:r>
        <w:rPr/>
        <w:t xml:space="preserve">, 3, 2017, p. 7-22.</w:t>
      </w:r>
    </w:p>
    <w:p>
      <w:pPr/>
      <w:r>
        <w:rPr>
          <w:b w:val="1"/>
          <w:bCs w:val="1"/>
        </w:rPr>
        <w:t xml:space="preserve">31)</w:t>
      </w:r>
      <w:r>
        <w:rPr/>
        <w:t xml:space="preserve"> « La racine verbale </w:t>
      </w:r>
      <w:r>
        <w:rPr>
          <w:i w:val="1"/>
          <w:iCs w:val="1"/>
        </w:rPr>
        <w:t xml:space="preserve">*dheh1-</w:t>
      </w:r>
      <w:r>
        <w:rPr/>
        <w:t xml:space="preserve"> « verbe support » : de l’indo-européen aux prolongements latins », </w:t>
      </w:r>
      <w:r>
        <w:rPr>
          <w:i w:val="1"/>
          <w:iCs w:val="1"/>
        </w:rPr>
        <w:t xml:space="preserve">Revue de philologie</w:t>
      </w:r>
      <w:r>
        <w:rPr/>
        <w:t xml:space="preserve">, 87/2, 2013 (2016), p. 15-36.</w:t>
      </w:r>
    </w:p>
    <w:p>
      <w:pPr/>
      <w:r>
        <w:rPr>
          <w:b w:val="1"/>
          <w:bCs w:val="1"/>
        </w:rPr>
        <w:t xml:space="preserve">30)</w:t>
      </w:r>
      <w:r>
        <w:rPr/>
        <w:t xml:space="preserve"> « Le salut par la traversée de l’eau », </w:t>
      </w:r>
      <w:r>
        <w:rPr>
          <w:i w:val="1"/>
          <w:iCs w:val="1"/>
        </w:rPr>
        <w:t xml:space="preserve">Nouveaux horizons sur l’espace antique et moderne</w:t>
      </w:r>
      <w:r>
        <w:rPr/>
        <w:t xml:space="preserve"> (Actes du symposium « Invitation au voyage », juin 2013, Lycée Henri IV), Ausonius, Bordeaux, 2015, p. 177-205.</w:t>
      </w:r>
    </w:p>
    <w:p>
      <w:pPr/>
      <w:r>
        <w:rPr>
          <w:b w:val="1"/>
          <w:bCs w:val="1"/>
        </w:rPr>
        <w:t xml:space="preserve">29)</w:t>
      </w:r>
      <w:r>
        <w:rPr/>
        <w:t xml:space="preserve"> « Lat. </w:t>
      </w:r>
      <w:r>
        <w:rPr>
          <w:i w:val="1"/>
          <w:iCs w:val="1"/>
        </w:rPr>
        <w:t xml:space="preserve">extorris</w:t>
      </w:r>
      <w:r>
        <w:rPr/>
        <w:t xml:space="preserve"> : quel rapport morphologique et sémantique avec </w:t>
      </w:r>
      <w:r>
        <w:rPr>
          <w:i w:val="1"/>
          <w:iCs w:val="1"/>
        </w:rPr>
        <w:t xml:space="preserve">terra</w:t>
      </w:r>
      <w:r>
        <w:rPr/>
        <w:t xml:space="preserve"> ? », </w:t>
      </w:r>
      <w:r>
        <w:rPr>
          <w:i w:val="1"/>
          <w:iCs w:val="1"/>
        </w:rPr>
        <w:t xml:space="preserve">Territoires et dépendances. Approches linguistiques</w:t>
      </w:r>
      <w:r>
        <w:rPr/>
        <w:t xml:space="preserve">, dir. Cl. Brunet, Presses universitaires de Franche-Comté, 2014, p. 73-84.</w:t>
      </w:r>
    </w:p>
    <w:p>
      <w:pPr/>
      <w:r>
        <w:rPr>
          <w:b w:val="1"/>
          <w:bCs w:val="1"/>
        </w:rPr>
        <w:t xml:space="preserve">28)</w:t>
      </w:r>
      <w:r>
        <w:rPr/>
        <w:t xml:space="preserve"> « Lat. </w:t>
      </w:r>
      <w:r>
        <w:rPr>
          <w:i w:val="1"/>
          <w:iCs w:val="1"/>
        </w:rPr>
        <w:t xml:space="preserve">urbem condere</w:t>
      </w:r>
      <w:r>
        <w:rPr/>
        <w:t xml:space="preserve"> : de la pratique au rituel », </w:t>
      </w:r>
      <w:r>
        <w:rPr>
          <w:i w:val="1"/>
          <w:iCs w:val="1"/>
        </w:rPr>
        <w:t xml:space="preserve">La fondation dans les langues indo-européennes : religion, droit et linguistique</w:t>
      </w:r>
      <w:r>
        <w:rPr/>
        <w:t xml:space="preserve">, Paris, KUBABA, 2014, p. 25-37.</w:t>
      </w:r>
    </w:p>
    <w:p>
      <w:pPr/>
      <w:r>
        <w:rPr>
          <w:b w:val="1"/>
          <w:bCs w:val="1"/>
        </w:rPr>
        <w:t xml:space="preserve">27)</w:t>
      </w:r>
      <w:r>
        <w:rPr/>
        <w:t xml:space="preserve"> « Le “mérisme” vrbs + arx », </w:t>
      </w:r>
      <w:r>
        <w:rPr>
          <w:i w:val="1"/>
          <w:iCs w:val="1"/>
        </w:rPr>
        <w:t xml:space="preserve">Wékwos</w:t>
      </w:r>
      <w:r>
        <w:rPr/>
        <w:t xml:space="preserve">, n°1, 2014, p. 11-25.</w:t>
      </w:r>
    </w:p>
    <w:p>
      <w:pPr/>
      <w:r>
        <w:rPr>
          <w:b w:val="1"/>
          <w:bCs w:val="1"/>
        </w:rPr>
        <w:t xml:space="preserve">26)</w:t>
      </w:r>
      <w:r>
        <w:rPr/>
        <w:t xml:space="preserve"> « </w:t>
      </w:r>
      <w:r>
        <w:rPr>
          <w:i w:val="1"/>
          <w:iCs w:val="1"/>
        </w:rPr>
        <w:t xml:space="preserve">Incohare</w:t>
      </w:r>
      <w:r>
        <w:rPr/>
        <w:t xml:space="preserve">, ou le latin langue de paysans », </w:t>
      </w:r>
      <w:r>
        <w:rPr>
          <w:i w:val="1"/>
          <w:iCs w:val="1"/>
        </w:rPr>
        <w:t xml:space="preserve">Polyphonia Romana</w:t>
      </w:r>
      <w:r>
        <w:rPr/>
        <w:t xml:space="preserve">. Hommages à F. Biville, éd. A. Garcea, M.-K. Lhommé, D. Vallat, Olms, 2013, vol. 1, p. 105-110.</w:t>
      </w:r>
    </w:p>
    <w:p>
      <w:pPr/>
      <w:r>
        <w:rPr>
          <w:b w:val="1"/>
          <w:bCs w:val="1"/>
        </w:rPr>
        <w:t xml:space="preserve">25)</w:t>
      </w:r>
      <w:r>
        <w:rPr/>
        <w:t xml:space="preserve"> « Le </w:t>
      </w:r>
      <w:r>
        <w:rPr>
          <w:i w:val="1"/>
          <w:iCs w:val="1"/>
        </w:rPr>
        <w:t xml:space="preserve">tribūnus</w:t>
      </w:r>
      <w:r>
        <w:rPr/>
        <w:t xml:space="preserve"> et le commandement d’un tiers de l’armée », </w:t>
      </w:r>
      <w:r>
        <w:rPr>
          <w:i w:val="1"/>
          <w:iCs w:val="1"/>
        </w:rPr>
        <w:t xml:space="preserve">Lucida intervalla</w:t>
      </w:r>
      <w:r>
        <w:rPr/>
        <w:t xml:space="preserve">, Belgrade, 41, 2012, p. 5-34.</w:t>
      </w:r>
    </w:p>
    <w:p>
      <w:pPr/>
      <w:r>
        <w:rPr>
          <w:b w:val="1"/>
          <w:bCs w:val="1"/>
        </w:rPr>
        <w:t xml:space="preserve">24)</w:t>
      </w:r>
      <w:r>
        <w:rPr/>
        <w:t xml:space="preserve"> « Sur la formation du suffixe </w:t>
      </w:r>
      <w:r>
        <w:rPr>
          <w:i w:val="1"/>
          <w:iCs w:val="1"/>
        </w:rPr>
        <w:t xml:space="preserve">-bilis</w:t>
      </w:r>
      <w:r>
        <w:rPr/>
        <w:t xml:space="preserve"> : étude morphologique et sémantique », </w:t>
      </w:r>
      <w:r>
        <w:rPr>
          <w:i w:val="1"/>
          <w:iCs w:val="1"/>
        </w:rPr>
        <w:t xml:space="preserve">Latomus</w:t>
      </w:r>
      <w:r>
        <w:rPr/>
        <w:t xml:space="preserve">, 71, 2012/3, p. 649-667.</w:t>
      </w:r>
    </w:p>
    <w:p>
      <w:pPr/>
      <w:r>
        <w:rPr>
          <w:b w:val="1"/>
          <w:bCs w:val="1"/>
        </w:rPr>
        <w:t xml:space="preserve">23)</w:t>
      </w:r>
      <w:r>
        <w:rPr/>
        <w:t xml:space="preserve"> « Vieil-islandais </w:t>
      </w:r>
      <w:r>
        <w:rPr>
          <w:i w:val="1"/>
          <w:iCs w:val="1"/>
        </w:rPr>
        <w:t xml:space="preserve">handtaka</w:t>
      </w:r>
      <w:r>
        <w:rPr/>
        <w:t xml:space="preserve"> : composition verbale et influence latine », </w:t>
      </w:r>
      <w:r>
        <w:rPr>
          <w:i w:val="1"/>
          <w:iCs w:val="1"/>
        </w:rPr>
        <w:t xml:space="preserve">Historische Sprachforschung</w:t>
      </w:r>
      <w:r>
        <w:rPr/>
        <w:t xml:space="preserve">, 122, 2009, p. 294-304.</w:t>
      </w:r>
    </w:p>
    <w:p>
      <w:pPr/>
      <w:r>
        <w:rPr>
          <w:b w:val="1"/>
          <w:bCs w:val="1"/>
        </w:rPr>
        <w:t xml:space="preserve">22)</w:t>
      </w:r>
      <w:r>
        <w:rPr/>
        <w:t xml:space="preserve"> « “Parasynthèse” et “hypostase” : à propos de quelques verbes “parasynthétiques” latins », </w:t>
      </w:r>
      <w:r>
        <w:rPr>
          <w:i w:val="1"/>
          <w:iCs w:val="1"/>
        </w:rPr>
        <w:t xml:space="preserve">Ktêma</w:t>
      </w:r>
      <w:r>
        <w:rPr/>
        <w:t xml:space="preserve">, 34, 2009 (= </w:t>
      </w:r>
      <w:r>
        <w:rPr>
          <w:i w:val="1"/>
          <w:iCs w:val="1"/>
        </w:rPr>
        <w:t xml:space="preserve">A-TI-DO-RO, Hommages à J.-L. Perpillou</w:t>
      </w:r>
      <w:r>
        <w:rPr/>
        <w:t xml:space="preserve">), p. 25-32.</w:t>
      </w:r>
    </w:p>
    <w:p>
      <w:pPr/>
      <w:r>
        <w:rPr>
          <w:b w:val="1"/>
          <w:bCs w:val="1"/>
        </w:rPr>
        <w:t xml:space="preserve">21)</w:t>
      </w:r>
      <w:r>
        <w:rPr/>
        <w:t xml:space="preserve"> « </w:t>
      </w:r>
      <w:r>
        <w:rPr>
          <w:i w:val="1"/>
          <w:iCs w:val="1"/>
        </w:rPr>
        <w:t xml:space="preserve">Gallia surgit</w:t>
      </w:r>
      <w:r>
        <w:rPr/>
        <w:t xml:space="preserve"> ! Le Musée gallo-romain de Saint-Germain au Concours général de 1867 », </w:t>
      </w:r>
      <w:r>
        <w:rPr>
          <w:i w:val="1"/>
          <w:iCs w:val="1"/>
        </w:rPr>
        <w:t xml:space="preserve">Antiquités nationales</w:t>
      </w:r>
      <w:r>
        <w:rPr/>
        <w:t xml:space="preserve">, 39, 2008, p. 225-234.</w:t>
      </w:r>
    </w:p>
    <w:p>
      <w:pPr/>
      <w:r>
        <w:rPr>
          <w:b w:val="1"/>
          <w:bCs w:val="1"/>
        </w:rPr>
        <w:t xml:space="preserve">20)</w:t>
      </w:r>
      <w:r>
        <w:rPr/>
        <w:t xml:space="preserve"> « L’évolution sémantique selon Löfstedt : esquisse d’un programme », in </w:t>
      </w:r>
      <w:r>
        <w:rPr>
          <w:i w:val="1"/>
          <w:iCs w:val="1"/>
        </w:rPr>
        <w:t xml:space="preserve">Einar Löfstedt nei percorsi della linguistica e della filologia latina.</w:t>
      </w:r>
      <w:r>
        <w:rPr/>
        <w:t xml:space="preserve"> Atti del convegno internazionale. Roma, 6-7 maggio 2004. A cura di P. Poccetti. Fabrizio Serra Editore, 2007. P. 127-131.</w:t>
      </w:r>
    </w:p>
    <w:p>
      <w:pPr/>
      <w:r>
        <w:rPr>
          <w:b w:val="1"/>
          <w:bCs w:val="1"/>
        </w:rPr>
        <w:t xml:space="preserve">19)</w:t>
      </w:r>
      <w:r>
        <w:rPr/>
        <w:t xml:space="preserve"> « Les différents </w:t>
      </w:r>
      <w:r>
        <w:rPr>
          <w:i w:val="1"/>
          <w:iCs w:val="1"/>
        </w:rPr>
        <w:t xml:space="preserve">mundus</w:t>
      </w:r>
      <w:r>
        <w:rPr/>
        <w:t xml:space="preserve"> du latin : homonymie et histoire des mots », p. 47-62 in </w:t>
      </w:r>
      <w:r>
        <w:rPr>
          <w:i w:val="1"/>
          <w:iCs w:val="1"/>
        </w:rPr>
        <w:t xml:space="preserve">L’homonymie dans les lexiques latin et grec,</w:t>
      </w:r>
      <w:r>
        <w:rPr/>
        <w:t xml:space="preserve"> sous la direction de A. Blanc et A. Christol, Association pour la Diffusion de la Recherche sur l’Antiquité (Nancy). Études anciennes, 33. Diffusion de Boccard, 2007.</w:t>
      </w:r>
    </w:p>
    <w:p>
      <w:pPr/>
      <w:r>
        <w:rPr>
          <w:b w:val="1"/>
          <w:bCs w:val="1"/>
        </w:rPr>
        <w:t xml:space="preserve">18)</w:t>
      </w:r>
      <w:r>
        <w:rPr/>
        <w:t xml:space="preserve"> « Lat. </w:t>
      </w:r>
      <w:r>
        <w:rPr>
          <w:i w:val="1"/>
          <w:iCs w:val="1"/>
        </w:rPr>
        <w:t xml:space="preserve">tūtānus</w:t>
      </w:r>
      <w:r>
        <w:rPr/>
        <w:t xml:space="preserve"> : sens et formation », </w:t>
      </w:r>
      <w:r>
        <w:rPr>
          <w:i w:val="1"/>
          <w:iCs w:val="1"/>
        </w:rPr>
        <w:t xml:space="preserve">Latomus</w:t>
      </w:r>
      <w:r>
        <w:rPr/>
        <w:t xml:space="preserve">, 65/4, oct.-déc. 2006, p. 869-878.</w:t>
      </w:r>
    </w:p>
    <w:p>
      <w:pPr/>
      <w:r>
        <w:rPr>
          <w:b w:val="1"/>
          <w:bCs w:val="1"/>
        </w:rPr>
        <w:t xml:space="preserve">17)</w:t>
      </w:r>
      <w:r>
        <w:rPr/>
        <w:t xml:space="preserve"> « </w:t>
      </w:r>
      <w:r>
        <w:rPr>
          <w:i w:val="1"/>
          <w:iCs w:val="1"/>
        </w:rPr>
        <w:t xml:space="preserve">Obligare</w:t>
      </w:r>
      <w:r>
        <w:rPr/>
        <w:t xml:space="preserve"> et </w:t>
      </w:r>
      <w:r>
        <w:rPr>
          <w:i w:val="1"/>
          <w:iCs w:val="1"/>
        </w:rPr>
        <w:t xml:space="preserve">obnoxius</w:t>
      </w:r>
      <w:r>
        <w:rPr/>
        <w:t xml:space="preserve"> : observations morphologiques et sémantiques », </w:t>
      </w:r>
      <w:r>
        <w:rPr>
          <w:i w:val="1"/>
          <w:iCs w:val="1"/>
        </w:rPr>
        <w:t xml:space="preserve">Glotta</w:t>
      </w:r>
      <w:r>
        <w:rPr/>
        <w:t xml:space="preserve">, 81, 2005, p. 25-44.</w:t>
      </w:r>
    </w:p>
    <w:p>
      <w:pPr/>
      <w:r>
        <w:rPr>
          <w:b w:val="1"/>
          <w:bCs w:val="1"/>
        </w:rPr>
        <w:t xml:space="preserve">16)</w:t>
      </w:r>
      <w:r>
        <w:rPr/>
        <w:t xml:space="preserve"> « Une famille de mots techniques : lat. </w:t>
      </w:r>
      <w:r>
        <w:rPr>
          <w:i w:val="1"/>
          <w:iCs w:val="1"/>
        </w:rPr>
        <w:t xml:space="preserve">uruum</w:t>
      </w:r>
      <w:r>
        <w:rPr/>
        <w:t xml:space="preserve"> et formes apparentées », </w:t>
      </w:r>
      <w:r>
        <w:rPr>
          <w:i w:val="1"/>
          <w:iCs w:val="1"/>
        </w:rPr>
        <w:t xml:space="preserve">Latin et langues techniques</w:t>
      </w:r>
      <w:r>
        <w:rPr/>
        <w:t xml:space="preserve">, Lingua Latina 9, PUPS, 2006, p. 47-60.</w:t>
      </w:r>
    </w:p>
    <w:p>
      <w:pPr/>
      <w:r>
        <w:rPr>
          <w:b w:val="1"/>
          <w:bCs w:val="1"/>
        </w:rPr>
        <w:t xml:space="preserve">15)</w:t>
      </w:r>
      <w:r>
        <w:rPr/>
        <w:t xml:space="preserve"> « Préverbés en </w:t>
      </w:r>
      <w:r>
        <w:rPr>
          <w:i w:val="1"/>
          <w:iCs w:val="1"/>
        </w:rPr>
        <w:t xml:space="preserve">intro</w:t>
      </w:r>
      <w:r>
        <w:rPr/>
        <w:t xml:space="preserve"> en cours de constitution chez Plaute et Térence », </w:t>
      </w:r>
      <w:r>
        <w:rPr>
          <w:i w:val="1"/>
          <w:iCs w:val="1"/>
        </w:rPr>
        <w:t xml:space="preserve">La composition et la préverbation en latin</w:t>
      </w:r>
      <w:r>
        <w:rPr/>
        <w:t xml:space="preserve">, Lingua Latina 8, PUPS, 2004, p. 309-320.</w:t>
      </w:r>
    </w:p>
    <w:p>
      <w:pPr/>
      <w:r>
        <w:rPr>
          <w:b w:val="1"/>
          <w:bCs w:val="1"/>
        </w:rPr>
        <w:t xml:space="preserve">14)</w:t>
      </w:r>
      <w:r>
        <w:rPr/>
        <w:t xml:space="preserve"> « Lat. </w:t>
      </w:r>
      <w:r>
        <w:rPr>
          <w:i w:val="1"/>
          <w:iCs w:val="1"/>
        </w:rPr>
        <w:t xml:space="preserve">anfractus</w:t>
      </w:r>
      <w:r>
        <w:rPr/>
        <w:t xml:space="preserve"> : sens et formation », </w:t>
      </w:r>
      <w:r>
        <w:rPr>
          <w:i w:val="1"/>
          <w:iCs w:val="1"/>
        </w:rPr>
        <w:t xml:space="preserve">Latomus</w:t>
      </w:r>
      <w:r>
        <w:rPr/>
        <w:t xml:space="preserve">, 64/2, avr.-juin 2005, p. 299-317.</w:t>
      </w:r>
    </w:p>
    <w:p>
      <w:pPr/>
      <w:r>
        <w:rPr>
          <w:b w:val="1"/>
          <w:bCs w:val="1"/>
        </w:rPr>
        <w:t xml:space="preserve">13)</w:t>
      </w:r>
      <w:r>
        <w:rPr/>
        <w:t xml:space="preserve"> « Les fondements indo-européens de lat. </w:t>
      </w:r>
      <w:r>
        <w:rPr>
          <w:i w:val="1"/>
          <w:iCs w:val="1"/>
        </w:rPr>
        <w:t xml:space="preserve">urbem condere</w:t>
      </w:r>
      <w:r>
        <w:rPr/>
        <w:t xml:space="preserve"> », </w:t>
      </w:r>
      <w:r>
        <w:rPr>
          <w:i w:val="1"/>
          <w:iCs w:val="1"/>
        </w:rPr>
        <w:t xml:space="preserve">Latomus</w:t>
      </w:r>
      <w:r>
        <w:rPr/>
        <w:t xml:space="preserve">, 63/4, oct.-déc. 2004, p. 825-840.</w:t>
      </w:r>
    </w:p>
    <w:p>
      <w:pPr/>
      <w:r>
        <w:rPr>
          <w:b w:val="1"/>
          <w:bCs w:val="1"/>
        </w:rPr>
        <w:t xml:space="preserve">12)</w:t>
      </w:r>
      <w:r>
        <w:rPr/>
        <w:t xml:space="preserve"> « Normalisations morphophonologiques dans la flexion des adjectifs latins et dans leurs dérivés », </w:t>
      </w:r>
      <w:r>
        <w:rPr>
          <w:i w:val="1"/>
          <w:iCs w:val="1"/>
        </w:rPr>
        <w:t xml:space="preserve">Latomus</w:t>
      </w:r>
      <w:r>
        <w:rPr/>
        <w:t xml:space="preserve">, 62/2, avril-juin 2003, p. 261-274.</w:t>
      </w:r>
    </w:p>
    <w:p>
      <w:pPr/>
      <w:r>
        <w:rPr>
          <w:b w:val="1"/>
          <w:bCs w:val="1"/>
        </w:rPr>
        <w:t xml:space="preserve">11)</w:t>
      </w:r>
      <w:r>
        <w:rPr/>
        <w:t xml:space="preserve"> « </w:t>
      </w:r>
      <w:r>
        <w:rPr>
          <w:i w:val="1"/>
          <w:iCs w:val="1"/>
        </w:rPr>
        <w:t xml:space="preserve">Circus</w:t>
      </w:r>
      <w:r>
        <w:rPr/>
        <w:t xml:space="preserve"> et </w:t>
      </w:r>
      <w:r>
        <w:rPr>
          <w:i w:val="1"/>
          <w:iCs w:val="1"/>
        </w:rPr>
        <w:t xml:space="preserve">circum</w:t>
      </w:r>
      <w:r>
        <w:rPr/>
        <w:t xml:space="preserve"> : aperçus historiques », </w:t>
      </w:r>
      <w:r>
        <w:rPr>
          <w:i w:val="1"/>
          <w:iCs w:val="1"/>
        </w:rPr>
        <w:t xml:space="preserve">Revue de philologie</w:t>
      </w:r>
      <w:r>
        <w:rPr/>
        <w:t xml:space="preserve">, 76/2, 2002, p. 199-215.</w:t>
      </w:r>
    </w:p>
    <w:p>
      <w:pPr/>
      <w:r>
        <w:rPr>
          <w:b w:val="1"/>
          <w:bCs w:val="1"/>
        </w:rPr>
        <w:t xml:space="preserve">10)</w:t>
      </w:r>
      <w:r>
        <w:rPr/>
        <w:t xml:space="preserve"> « </w:t>
      </w:r>
      <w:r>
        <w:rPr>
          <w:i w:val="1"/>
          <w:iCs w:val="1"/>
        </w:rPr>
        <w:t xml:space="preserve">Moenia ponere</w:t>
      </w:r>
      <w:r>
        <w:rPr/>
        <w:t xml:space="preserve">. Une manière archaïque de désigner la fondation d’une cité en latin », </w:t>
      </w:r>
      <w:r>
        <w:rPr>
          <w:i w:val="1"/>
          <w:iCs w:val="1"/>
        </w:rPr>
        <w:t xml:space="preserve">Hommages à Carl Deroux</w:t>
      </w:r>
      <w:r>
        <w:rPr/>
        <w:t xml:space="preserve"> II (prose et linguistique, médecine), Bruxelles, coll. Latomus, vol. 267, 2002, p. 64-75.</w:t>
      </w:r>
    </w:p>
    <w:p>
      <w:pPr/>
      <w:r>
        <w:rPr>
          <w:b w:val="1"/>
          <w:bCs w:val="1"/>
        </w:rPr>
        <w:t xml:space="preserve">9)</w:t>
      </w:r>
      <w:r>
        <w:rPr/>
        <w:t xml:space="preserve"> « </w:t>
      </w:r>
      <w:r>
        <w:rPr>
          <w:i w:val="1"/>
          <w:iCs w:val="1"/>
        </w:rPr>
        <w:t xml:space="preserve">Libertas/libertus</w:t>
      </w:r>
      <w:r>
        <w:rPr/>
        <w:t xml:space="preserve"> et </w:t>
      </w:r>
      <w:r>
        <w:rPr>
          <w:i w:val="1"/>
          <w:iCs w:val="1"/>
        </w:rPr>
        <w:t xml:space="preserve">uetustas/uetustus</w:t>
      </w:r>
      <w:r>
        <w:rPr/>
        <w:t xml:space="preserve"> : observations morphologiques et sé­mantiques », </w:t>
      </w:r>
      <w:r>
        <w:rPr>
          <w:i w:val="1"/>
          <w:iCs w:val="1"/>
        </w:rPr>
        <w:t xml:space="preserve">Historische Sprachforschung</w:t>
      </w:r>
      <w:r>
        <w:rPr/>
        <w:t xml:space="preserve">, 115/1, 2002, p. 79-89.</w:t>
      </w:r>
    </w:p>
    <w:p>
      <w:pPr/>
      <w:r>
        <w:rPr>
          <w:b w:val="1"/>
          <w:bCs w:val="1"/>
        </w:rPr>
        <w:t xml:space="preserve">8)</w:t>
      </w:r>
      <w:r>
        <w:rPr/>
        <w:t xml:space="preserve"> « </w:t>
      </w:r>
      <w:r>
        <w:rPr>
          <w:i w:val="1"/>
          <w:iCs w:val="1"/>
        </w:rPr>
        <w:t xml:space="preserve">Spoliare</w:t>
      </w:r>
      <w:r>
        <w:rPr/>
        <w:t xml:space="preserve"> et </w:t>
      </w:r>
      <w:r>
        <w:rPr>
          <w:i w:val="1"/>
          <w:iCs w:val="1"/>
        </w:rPr>
        <w:t xml:space="preserve">despoliare</w:t>
      </w:r>
      <w:r>
        <w:rPr/>
        <w:t xml:space="preserve"> </w:t>
      </w:r>
      <w:r>
        <w:rPr>
          <w:i w:val="1"/>
          <w:iCs w:val="1"/>
        </w:rPr>
        <w:t xml:space="preserve">/</w:t>
      </w:r>
      <w:r>
        <w:rPr/>
        <w:t xml:space="preserve"> </w:t>
      </w:r>
      <w:r>
        <w:rPr>
          <w:i w:val="1"/>
          <w:iCs w:val="1"/>
        </w:rPr>
        <w:t xml:space="preserve">exspoliare</w:t>
      </w:r>
      <w:r>
        <w:rPr/>
        <w:t xml:space="preserve"> : du dénominatif au parasynthétique ? Remarques sur les verbes latins à sens privatif », </w:t>
      </w:r>
      <w:r>
        <w:rPr>
          <w:i w:val="1"/>
          <w:iCs w:val="1"/>
        </w:rPr>
        <w:t xml:space="preserve">De lingua latina nouae quaestiones</w:t>
      </w:r>
      <w:r>
        <w:rPr/>
        <w:t xml:space="preserve"> (actes du Xe Colloque international de linguistique latine, Paris-Sèvres, 19-23 avril 1999), Peeters, 2001, p. 39-50.</w:t>
      </w:r>
    </w:p>
    <w:p>
      <w:pPr/>
      <w:r>
        <w:rPr>
          <w:b w:val="1"/>
          <w:bCs w:val="1"/>
        </w:rPr>
        <w:t xml:space="preserve">7)</w:t>
      </w:r>
      <w:r>
        <w:rPr/>
        <w:t xml:space="preserve"> « </w:t>
      </w:r>
      <w:r>
        <w:rPr>
          <w:i w:val="1"/>
          <w:iCs w:val="1"/>
        </w:rPr>
        <w:t xml:space="preserve">Explere</w:t>
      </w:r>
      <w:r>
        <w:rPr/>
        <w:t xml:space="preserve"> “emplir” en latin : une incongruité ? », </w:t>
      </w:r>
      <w:r>
        <w:rPr>
          <w:i w:val="1"/>
          <w:iCs w:val="1"/>
        </w:rPr>
        <w:t xml:space="preserve">Indogermanische Forschungen</w:t>
      </w:r>
      <w:r>
        <w:rPr/>
        <w:t xml:space="preserve">, 105, 2000, p. 255-269.</w:t>
      </w:r>
    </w:p>
    <w:p>
      <w:pPr/>
      <w:r>
        <w:rPr>
          <w:b w:val="1"/>
          <w:bCs w:val="1"/>
        </w:rPr>
        <w:t xml:space="preserve">6)</w:t>
      </w:r>
      <w:r>
        <w:rPr/>
        <w:t xml:space="preserve"> « Les emplois de </w:t>
      </w:r>
      <w:r>
        <w:rPr>
          <w:i w:val="1"/>
          <w:iCs w:val="1"/>
        </w:rPr>
        <w:t xml:space="preserve">extra</w:t>
      </w:r>
      <w:r>
        <w:rPr/>
        <w:t xml:space="preserve"> et </w:t>
      </w:r>
      <w:r>
        <w:rPr>
          <w:i w:val="1"/>
          <w:iCs w:val="1"/>
        </w:rPr>
        <w:t xml:space="preserve">intra</w:t>
      </w:r>
      <w:r>
        <w:rPr/>
        <w:t xml:space="preserve"> », </w:t>
      </w:r>
      <w:r>
        <w:rPr>
          <w:i w:val="1"/>
          <w:iCs w:val="1"/>
        </w:rPr>
        <w:t xml:space="preserve">Revue de Philologie</w:t>
      </w:r>
      <w:r>
        <w:rPr/>
        <w:t xml:space="preserve">, 73/2, 1999, p. 191-207.</w:t>
      </w:r>
    </w:p>
    <w:p>
      <w:pPr/>
      <w:r>
        <w:rPr>
          <w:b w:val="1"/>
          <w:bCs w:val="1"/>
        </w:rPr>
        <w:t xml:space="preserve">5)</w:t>
      </w:r>
      <w:r>
        <w:rPr/>
        <w:t xml:space="preserve"> « Lat. </w:t>
      </w:r>
      <w:r>
        <w:rPr>
          <w:i w:val="1"/>
          <w:iCs w:val="1"/>
        </w:rPr>
        <w:t xml:space="preserve">proelium</w:t>
      </w:r>
      <w:r>
        <w:rPr/>
        <w:t xml:space="preserve"> : poétique et étymologie », </w:t>
      </w:r>
      <w:r>
        <w:rPr>
          <w:i w:val="1"/>
          <w:iCs w:val="1"/>
        </w:rPr>
        <w:t xml:space="preserve">Historische Sprachforschung</w:t>
      </w:r>
      <w:r>
        <w:rPr/>
        <w:t xml:space="preserve">, 112/2, 1999, p. 286-298.</w:t>
      </w:r>
    </w:p>
    <w:p>
      <w:pPr/>
      <w:r>
        <w:rPr>
          <w:b w:val="1"/>
          <w:bCs w:val="1"/>
        </w:rPr>
        <w:t xml:space="preserve">4)</w:t>
      </w:r>
      <w:r>
        <w:rPr/>
        <w:t xml:space="preserve"> « Réflexions sur l’évolution sémantique de </w:t>
      </w:r>
      <w:r>
        <w:rPr>
          <w:i w:val="1"/>
          <w:iCs w:val="1"/>
        </w:rPr>
        <w:t xml:space="preserve">significare</w:t>
      </w:r>
      <w:r>
        <w:rPr/>
        <w:t xml:space="preserve"> », </w:t>
      </w:r>
      <w:r>
        <w:rPr>
          <w:i w:val="1"/>
          <w:iCs w:val="1"/>
        </w:rPr>
        <w:t xml:space="preserve">Lingua latina</w:t>
      </w:r>
      <w:r>
        <w:rPr/>
        <w:t xml:space="preserve"> V, Conceptions latines du sens et de la signification, Recherches linguistiques du Centre Alfred Ernout, Presses de l’Université de Paris-Sorbonne, 1999, p. 29-39.</w:t>
      </w:r>
    </w:p>
    <w:p>
      <w:pPr/>
      <w:r>
        <w:rPr>
          <w:b w:val="1"/>
          <w:bCs w:val="1"/>
        </w:rPr>
        <w:t xml:space="preserve">3)</w:t>
      </w:r>
      <w:r>
        <w:rPr/>
        <w:t xml:space="preserve"> « Les verbes “être” du latin et le supplétisme roman », </w:t>
      </w:r>
      <w:r>
        <w:rPr>
          <w:i w:val="1"/>
          <w:iCs w:val="1"/>
        </w:rPr>
        <w:t xml:space="preserve">Revue de Philologie</w:t>
      </w:r>
      <w:r>
        <w:rPr/>
        <w:t xml:space="preserve">, 72/2, 1998, p. 175-187.</w:t>
      </w:r>
    </w:p>
    <w:p>
      <w:pPr/>
      <w:r>
        <w:rPr>
          <w:b w:val="1"/>
          <w:bCs w:val="1"/>
        </w:rPr>
        <w:t xml:space="preserve">2)</w:t>
      </w:r>
      <w:r>
        <w:rPr/>
        <w:t xml:space="preserve"> « Les verbes </w:t>
      </w:r>
      <w:r>
        <w:rPr>
          <w:i w:val="1"/>
          <w:iCs w:val="1"/>
        </w:rPr>
        <w:t xml:space="preserve">ex-saturare</w:t>
      </w:r>
      <w:r>
        <w:rPr/>
        <w:t xml:space="preserve"> et </w:t>
      </w:r>
      <w:r>
        <w:rPr>
          <w:i w:val="1"/>
          <w:iCs w:val="1"/>
        </w:rPr>
        <w:t xml:space="preserve">ex-satiare</w:t>
      </w:r>
      <w:r>
        <w:rPr/>
        <w:t xml:space="preserve"> : des créations analogiques d’après </w:t>
      </w:r>
      <w:r>
        <w:rPr>
          <w:i w:val="1"/>
          <w:iCs w:val="1"/>
        </w:rPr>
        <w:t xml:space="preserve">ex­plere</w:t>
      </w:r>
      <w:r>
        <w:rPr/>
        <w:t xml:space="preserve"> ? », </w:t>
      </w:r>
      <w:r>
        <w:rPr>
          <w:i w:val="1"/>
          <w:iCs w:val="1"/>
        </w:rPr>
        <w:t xml:space="preserve">Mélanges de linguistique et de littérature anciennes offerts à Claude Moussy</w:t>
      </w:r>
      <w:r>
        <w:rPr/>
        <w:t xml:space="preserve">, Peeters, 1998, p. 157-162.</w:t>
      </w:r>
    </w:p>
    <w:p>
      <w:pPr/>
      <w:r>
        <w:rPr>
          <w:b w:val="1"/>
          <w:bCs w:val="1"/>
        </w:rPr>
        <w:t xml:space="preserve">1)</w:t>
      </w:r>
      <w:r>
        <w:rPr/>
        <w:t xml:space="preserve"> « Esquisse d’une histoire de lat. </w:t>
      </w:r>
      <w:r>
        <w:rPr>
          <w:i w:val="1"/>
          <w:iCs w:val="1"/>
        </w:rPr>
        <w:t xml:space="preserve">signum</w:t>
      </w:r>
      <w:r>
        <w:rPr/>
        <w:t xml:space="preserve"> », </w:t>
      </w:r>
      <w:r>
        <w:rPr>
          <w:i w:val="1"/>
          <w:iCs w:val="1"/>
        </w:rPr>
        <w:t xml:space="preserve">Revue de Philologie</w:t>
      </w:r>
      <w:r>
        <w:rPr/>
        <w:t xml:space="preserve">, 68/1, 1994, p. 33-50.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Parole, pensée, action chez Cicéron : un héritage formulaire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substantif latin mundus : un avatar de l'étrusque mutna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Graeco-Latina Brunensia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Deportatio exercitus. Le retour victorieux de l’armée dans la mentalité romaine archaïque : une victoire sur la mort. Étude lexicale et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du suffixe -ndus : observations sur les explications proposées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Latine du Centre Alfred Ernout (De Lingua Latina)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hal-03382735v1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anadyomène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Brachet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Cicéron 1 Anadyomène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Operae pretium facimus. Mélanges en l'honneur de Charles Guittard</w:t>
            </w:r>
            <w:r>
              <w:rPr/>
              <w:t xml:space="preserve">, 2021, 978-2-343-21345-3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hal-03133543v1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7D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brachet" TargetMode="External"/><Relationship Id="rId8" Type="http://schemas.openxmlformats.org/officeDocument/2006/relationships/hyperlink" Target="https://orcid.org/0000-0002-1669-089X" TargetMode="External"/><Relationship Id="rId9" Type="http://schemas.openxmlformats.org/officeDocument/2006/relationships/hyperlink" Target="https://www.idref.fr/058577254" TargetMode="External"/><Relationship Id="rId10" Type="http://schemas.openxmlformats.org/officeDocument/2006/relationships/hyperlink" Target="https://hal.sorbonne-universite.fr/hal-03861023v1" TargetMode="External"/><Relationship Id="rId11" Type="http://schemas.openxmlformats.org/officeDocument/2006/relationships/hyperlink" Target="https://hal.science/search/index/?q=*&amp;authFullName_s=Jean-Paul Brachet" TargetMode="External"/><Relationship Id="rId12" Type="http://schemas.openxmlformats.org/officeDocument/2006/relationships/hyperlink" Target="https://hal.science/hal-02502805v1" TargetMode="External"/><Relationship Id="rId13" Type="http://schemas.openxmlformats.org/officeDocument/2006/relationships/hyperlink" Target="https://hal.sorbonne-universite.fr/hal-02498640v1" TargetMode="External"/><Relationship Id="rId14" Type="http://schemas.openxmlformats.org/officeDocument/2006/relationships/hyperlink" Target="https://hal.sorbonne-universite.fr/hal-03382735v1" TargetMode="External"/><Relationship Id="rId15" Type="http://schemas.openxmlformats.org/officeDocument/2006/relationships/hyperlink" Target="https://hal.science/hal-03133543v1" TargetMode="External"/><Relationship Id="rId16" Type="http://schemas.openxmlformats.org/officeDocument/2006/relationships/hyperlink" Target="https://hal.science/search/index/?q=*&amp;authFullName_s=Cic&#233;ron 1 Anadyom&#232;n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Brachet</dc:title>
  <dc:description>CV</dc:description>
  <dc:subject/>
  <cp:keywords/>
  <cp:category/>
  <cp:lastModifiedBy/>
  <dcterms:created xsi:type="dcterms:W3CDTF">2026-03-17T10:57:58+01:00</dcterms:created>
  <dcterms:modified xsi:type="dcterms:W3CDTF">2026-03-17T10:57:58+01:00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