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Jeanne Ravaute </w:t>
      </w:r>
      <w:r>
        <w:rPr>
          <w:color w:val="641e6e"/>
        </w:rPr>
        <w:t xml:space="preserve">ATER de Lettres Classiques à l'ENS de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Sciences de l'Antiquité</w:t>
      </w:r>
    </w:p>
    <w:p>
      <w:pPr/>
      <w:r>
        <w:rPr/>
        <w:t xml:space="preserve">Qualifiée par les sections 08 (Langues et littératures anciennes) et 17 (Philosophie) du CNU</w:t>
      </w:r>
    </w:p>
    <w:p>
      <w:pPr/>
      <w:r>
        <w:rPr/>
        <w:t xml:space="preserve">Agrégée de Lettres Classiques</w:t>
      </w:r>
    </w:p>
    <w:p>
      <w:pPr>
        <w:pStyle w:val="Heading3"/>
      </w:pPr>
      <w:r>
        <w:rPr/>
        <w:t xml:space="preserve">Postes occupés :</w:t>
      </w:r>
    </w:p>
    <w:p>
      <w:pPr>
        <w:numPr>
          <w:ilvl w:val="0"/>
          <w:numId w:val="1"/>
        </w:numPr>
      </w:pPr>
      <w:r>
        <w:rPr/>
        <w:t xml:space="preserve">2022-2026 :	ATER de Latin et Grec Ancien</w:t>
      </w:r>
      <w:r>
        <w:rPr>
          <w:b w:val="1"/>
          <w:bCs w:val="1"/>
        </w:rPr>
        <w:t xml:space="preserve">ENS de Lyon</w:t>
      </w:r>
      <w:r>
        <w:rPr/>
        <w:t xml:space="preserve"> - HiSoMA</w:t>
      </w:r>
    </w:p>
    <w:p>
      <w:pPr>
        <w:numPr>
          <w:ilvl w:val="0"/>
          <w:numId w:val="1"/>
        </w:numPr>
      </w:pPr>
      <w:r>
        <w:rPr/>
        <w:t xml:space="preserve">2018-2022 : Doctorante contractuelle chargée d'enseignement</w:t>
      </w:r>
      <w:r>
        <w:rPr>
          <w:b w:val="1"/>
          <w:bCs w:val="1"/>
        </w:rPr>
        <w:t xml:space="preserve">Université Aix-Marseille</w:t>
      </w:r>
      <w:r>
        <w:rPr/>
        <w:t xml:space="preserve"> - TDMAM (UMR 7297)</w:t>
      </w:r>
    </w:p>
    <w:p>
      <w:pPr>
        <w:pStyle w:val="Heading3"/>
      </w:pPr>
      <w:r>
        <w:rPr/>
        <w:t xml:space="preserve">Thèmes de recherche</w:t>
      </w:r>
    </w:p>
    <w:p>
      <w:pPr/>
      <w:r>
        <w:rPr/>
        <w:t xml:space="preserve">Le </w:t>
      </w:r>
      <w:r>
        <w:rPr>
          <w:i w:val="1"/>
          <w:iCs w:val="1"/>
        </w:rPr>
        <w:t xml:space="preserve">Timée</w:t>
      </w:r>
      <w:r>
        <w:rPr/>
        <w:t xml:space="preserve"> de Platon et sa réception dans l'Antiquité, en particulier durant la période hellénistique.Philosophie romaine et hellénistique : Cicéron, néo-académisme, néo-pythagorisme.Astronomie latine.Littérature latine et philosophie : légitimation de la production philosophique en latin, formes du dialogue philosophique.Traductologie et théories anciennes de la traduction : traduction du grec vers le latin en philosophie, lexique philosophique latin, bilinguisme gréco-latin, </w:t>
      </w:r>
      <w:r>
        <w:rPr>
          <w:i w:val="1"/>
          <w:iCs w:val="1"/>
        </w:rPr>
        <w:t xml:space="preserve">code-switching</w:t>
      </w:r>
      <w:r>
        <w:rPr/>
        <w:t xml:space="preserve">.</w:t>
      </w:r>
    </w:p>
    <w:p>
      <w:pPr>
        <w:pStyle w:val="Heading3"/>
      </w:pPr>
      <w:r>
        <w:rPr/>
        <w:t xml:space="preserve">Thèse :</w:t>
      </w:r>
    </w:p>
    <w:p>
      <w:pPr/>
      <w:r>
        <w:rPr>
          <w:b w:val="1"/>
          <w:bCs w:val="1"/>
        </w:rPr>
        <w:t xml:space="preserve">&amp;quot;Puiser aux sources grecques. Enquête sur le </w:t>
      </w:r>
      <w:r>
        <w:rPr>
          <w:b w:val="1"/>
          <w:bCs w:val="1"/>
          <w:i w:val="1"/>
          <w:iCs w:val="1"/>
        </w:rPr>
        <w:t xml:space="preserve">Timaeus</w:t>
      </w:r>
      <w:r>
        <w:rPr>
          <w:b w:val="1"/>
          <w:bCs w:val="1"/>
        </w:rPr>
        <w:t xml:space="preserve"> de Cicéron&amp;quot;</w:t>
      </w:r>
      <w:r>
        <w:rPr/>
        <w:t xml:space="preserve">, sous la direction de Sabine Luciani et Anne Balansard (AMU - TDMAM).Soutenue le 13 décembre 2024 à Aix-Marseille Université devant un jury composé de :</w:t>
      </w:r>
    </w:p>
    <w:p>
      <w:pPr>
        <w:numPr>
          <w:ilvl w:val="0"/>
          <w:numId w:val="2"/>
        </w:numPr>
      </w:pPr>
      <w:r>
        <w:rPr/>
        <w:t xml:space="preserve">Sophie Aubert-Baillot (PR, Université de Lille) - rapportrice</w:t>
      </w:r>
    </w:p>
    <w:p>
      <w:pPr>
        <w:numPr>
          <w:ilvl w:val="0"/>
          <w:numId w:val="2"/>
        </w:numPr>
      </w:pPr>
      <w:r>
        <w:rPr/>
        <w:t xml:space="preserve">Clara Auvray-Assayas (Professeure honoraire, Université de Rouen) - invitée</w:t>
      </w:r>
    </w:p>
    <w:p>
      <w:pPr>
        <w:numPr>
          <w:ilvl w:val="0"/>
          <w:numId w:val="2"/>
        </w:numPr>
      </w:pPr>
      <w:r>
        <w:rPr/>
        <w:t xml:space="preserve">Anne Balansard (PR, AMU) - co-directrice de thèse</w:t>
      </w:r>
    </w:p>
    <w:p>
      <w:pPr>
        <w:numPr>
          <w:ilvl w:val="0"/>
          <w:numId w:val="2"/>
        </w:numPr>
      </w:pPr>
      <w:r>
        <w:rPr/>
        <w:t xml:space="preserve">Thomas Bénatouïl (PR, Université de Lille) - président du jury</w:t>
      </w:r>
    </w:p>
    <w:p>
      <w:pPr>
        <w:numPr>
          <w:ilvl w:val="0"/>
          <w:numId w:val="2"/>
        </w:numPr>
      </w:pPr>
      <w:r>
        <w:rPr/>
        <w:t xml:space="preserve">Carlos Lévy (Académie des Inscriptions et des Belles Lettres) - examinateur</w:t>
      </w:r>
    </w:p>
    <w:p>
      <w:pPr>
        <w:numPr>
          <w:ilvl w:val="0"/>
          <w:numId w:val="2"/>
        </w:numPr>
      </w:pPr>
      <w:r>
        <w:rPr/>
        <w:t xml:space="preserve">Sabine Luciani (PR, AMU) - directrice de thèse</w:t>
      </w:r>
    </w:p>
    <w:p>
      <w:pPr>
        <w:numPr>
          <w:ilvl w:val="0"/>
          <w:numId w:val="2"/>
        </w:numPr>
      </w:pPr>
      <w:r>
        <w:rPr/>
        <w:t xml:space="preserve">Gernot M. Müller (Professeur, Université de Bonn) - rapporteur</w:t>
      </w:r>
    </w:p>
    <w:p>
      <w:pPr/>
      <w:r>
        <w:rPr>
          <w:b w:val="1"/>
          <w:bCs w:val="1"/>
        </w:rPr>
        <w:t xml:space="preserve">Résumé</w:t>
      </w:r>
      <w:r>
        <w:rPr/>
        <w:t xml:space="preserve"> :La présente thèse se propose d’analyser un texte encore peu étudié de Cicéron : le </w:t>
      </w:r>
      <w:r>
        <w:rPr>
          <w:i w:val="1"/>
          <w:iCs w:val="1"/>
        </w:rPr>
        <w:t xml:space="preserve">Timaeus</w:t>
      </w:r>
      <w:r>
        <w:rPr/>
        <w:t xml:space="preserve">. Ouvrage inachevé, le </w:t>
      </w:r>
      <w:r>
        <w:rPr>
          <w:i w:val="1"/>
          <w:iCs w:val="1"/>
        </w:rPr>
        <w:t xml:space="preserve">Timaeus</w:t>
      </w:r>
      <w:r>
        <w:rPr/>
        <w:t xml:space="preserve"> se présente sous la forme d’un court </w:t>
      </w:r>
      <w:r>
        <w:rPr>
          <w:i w:val="1"/>
          <w:iCs w:val="1"/>
        </w:rPr>
        <w:t xml:space="preserve">prooemium</w:t>
      </w:r>
      <w:r>
        <w:rPr/>
        <w:t xml:space="preserve"> de dialogue philosophique et d’une « traduction » partielle du </w:t>
      </w:r>
      <w:r>
        <w:rPr>
          <w:i w:val="1"/>
          <w:iCs w:val="1"/>
        </w:rPr>
        <w:t xml:space="preserve">Timée</w:t>
      </w:r>
      <w:r>
        <w:rPr/>
        <w:t xml:space="preserve"> de Platon, ce qui en fait, encore aujourd’hui, une énigme. Dans la première partie de la thèse, nous tentons de définir le projet cicéronien à partir de la transmission manuscrite (chapitre 1) et du </w:t>
      </w:r>
      <w:r>
        <w:rPr>
          <w:i w:val="1"/>
          <w:iCs w:val="1"/>
        </w:rPr>
        <w:t xml:space="preserve">prooemium</w:t>
      </w:r>
      <w:r>
        <w:rPr/>
        <w:t xml:space="preserve"> (chapitre 2). Il en ressort que l’ouvrage que Cicéron avait prévu d’écrire, durant l’été 45, devait se présenter sous la forme d’un dialogue contradictoire mettant en scène un représentant du pythagorisme, Nigidius Figulus, et un représentant du Peripatos, Cratippe de Mytilène. Face à la présence étonnante d’une « traduction » si longue dans un dialogue philosophique, nous faisons l’hypothèse que la discussion devait porter sur les interprétations du </w:t>
      </w:r>
      <w:r>
        <w:rPr>
          <w:i w:val="1"/>
          <w:iCs w:val="1"/>
        </w:rPr>
        <w:t xml:space="preserve">Timée</w:t>
      </w:r>
      <w:r>
        <w:rPr/>
        <w:t xml:space="preserve">, qui a largement divisé les écoles philosophiques, comme l’attestent les références qui y sont faites dans le </w:t>
      </w:r>
      <w:r>
        <w:rPr>
          <w:i w:val="1"/>
          <w:iCs w:val="1"/>
        </w:rPr>
        <w:t xml:space="preserve">De natura deorum</w:t>
      </w:r>
      <w:r>
        <w:rPr/>
        <w:t xml:space="preserve">. C’est pourquoi nous examinons, dans une deuxième partie, la démarche de « traduction » cicéronienne, que nous appelons </w:t>
      </w:r>
      <w:r>
        <w:rPr>
          <w:i w:val="1"/>
          <w:iCs w:val="1"/>
        </w:rPr>
        <w:t xml:space="preserve">translatio</w:t>
      </w:r>
      <w:r>
        <w:rPr/>
        <w:t xml:space="preserve">. Le chapitre 3 interroge les intersections du projet cicéronien entre l’histoire littéraire de Rome et ses affiliations philosophiques, de façon à montrer que sa démarche de </w:t>
      </w:r>
      <w:r>
        <w:rPr>
          <w:i w:val="1"/>
          <w:iCs w:val="1"/>
        </w:rPr>
        <w:t xml:space="preserve">translatio</w:t>
      </w:r>
      <w:r>
        <w:rPr/>
        <w:t xml:space="preserve"> est indissociable de la pratique philosophique du doute méthodique. Cicéron, lorsqu’il traduit, « puise » aux sources grecques ce qui sert sa stratégie philosophique et politique. Face à ce constat, nous avons souhaité proposer une méthode d’analyse de la </w:t>
      </w:r>
      <w:r>
        <w:rPr>
          <w:i w:val="1"/>
          <w:iCs w:val="1"/>
        </w:rPr>
        <w:t xml:space="preserve">translatio</w:t>
      </w:r>
      <w:r>
        <w:rPr/>
        <w:t xml:space="preserve"> du </w:t>
      </w:r>
      <w:r>
        <w:rPr>
          <w:i w:val="1"/>
          <w:iCs w:val="1"/>
        </w:rPr>
        <w:t xml:space="preserve">Timée</w:t>
      </w:r>
      <w:r>
        <w:rPr/>
        <w:t xml:space="preserve"> adaptée à la spécificité du </w:t>
      </w:r>
      <w:r>
        <w:rPr>
          <w:i w:val="1"/>
          <w:iCs w:val="1"/>
        </w:rPr>
        <w:t xml:space="preserve">Timaeus</w:t>
      </w:r>
      <w:r>
        <w:rPr/>
        <w:t xml:space="preserve">. Notre chapitre 4 consiste donc en une double traduction, en français, du </w:t>
      </w:r>
      <w:r>
        <w:rPr>
          <w:i w:val="1"/>
          <w:iCs w:val="1"/>
        </w:rPr>
        <w:t xml:space="preserve">Timée</w:t>
      </w:r>
      <w:r>
        <w:rPr/>
        <w:t xml:space="preserve"> de Platon et du </w:t>
      </w:r>
      <w:r>
        <w:rPr>
          <w:i w:val="1"/>
          <w:iCs w:val="1"/>
        </w:rPr>
        <w:t xml:space="preserve">Timaeus</w:t>
      </w:r>
      <w:r>
        <w:rPr/>
        <w:t xml:space="preserve"> de Cicéron. Ces traductions de travail servent d’appui à nos analyses du </w:t>
      </w:r>
      <w:r>
        <w:rPr>
          <w:i w:val="1"/>
          <w:iCs w:val="1"/>
        </w:rPr>
        <w:t xml:space="preserve">Timaeus</w:t>
      </w:r>
      <w:r>
        <w:rPr/>
        <w:t xml:space="preserve"> : il s’agit de mesurer, par l’intermédiaire du français qui sert ici de </w:t>
      </w:r>
      <w:r>
        <w:rPr>
          <w:i w:val="1"/>
          <w:iCs w:val="1"/>
        </w:rPr>
        <w:t xml:space="preserve">tertium comparationis</w:t>
      </w:r>
      <w:r>
        <w:rPr/>
        <w:t xml:space="preserve"> (U. Eco 2006), les écarts entre le texte grec et le texte latin. La troisième partie de la thèse propose, à partir de ce travail de double traduction, une lecture personnelle du </w:t>
      </w:r>
      <w:r>
        <w:rPr>
          <w:i w:val="1"/>
          <w:iCs w:val="1"/>
        </w:rPr>
        <w:t xml:space="preserve">Timaeus</w:t>
      </w:r>
      <w:r>
        <w:rPr/>
        <w:t xml:space="preserve">, fondée sur les hypothèses que nous avons formulées à partir du </w:t>
      </w:r>
      <w:r>
        <w:rPr>
          <w:i w:val="1"/>
          <w:iCs w:val="1"/>
        </w:rPr>
        <w:t xml:space="preserve">prooemium</w:t>
      </w:r>
      <w:r>
        <w:rPr/>
        <w:t xml:space="preserve">. Nous voulons en effet montrer que la </w:t>
      </w:r>
      <w:r>
        <w:rPr>
          <w:i w:val="1"/>
          <w:iCs w:val="1"/>
        </w:rPr>
        <w:t xml:space="preserve">translatio</w:t>
      </w:r>
      <w:r>
        <w:rPr/>
        <w:t xml:space="preserve"> cicéronienne sert un double objectif : servir le débat philosophique entre platoniciens et péripatéticiens en soulignant les éléments du </w:t>
      </w:r>
      <w:r>
        <w:rPr>
          <w:i w:val="1"/>
          <w:iCs w:val="1"/>
        </w:rPr>
        <w:t xml:space="preserve">Timée</w:t>
      </w:r>
      <w:r>
        <w:rPr/>
        <w:t xml:space="preserve"> qui ont ouvert la voie à la critique aristotélicienne ; et proposer aux Romains des éléments d’une physique et d’une philosophie adaptée à la culture romaine. Le chapitre 5 étudie pour cela l’épistémologie du </w:t>
      </w:r>
      <w:r>
        <w:rPr>
          <w:i w:val="1"/>
          <w:iCs w:val="1"/>
        </w:rPr>
        <w:t xml:space="preserve">Timaeus</w:t>
      </w:r>
      <w:r>
        <w:rPr/>
        <w:t xml:space="preserve">. Le chapitre 6 se penche sur un autre élément largement commenté du </w:t>
      </w:r>
      <w:r>
        <w:rPr>
          <w:i w:val="1"/>
          <w:iCs w:val="1"/>
        </w:rPr>
        <w:t xml:space="preserve">Timée</w:t>
      </w:r>
      <w:r>
        <w:rPr/>
        <w:t xml:space="preserve"> : la réception du dieu comme artisan du monde. Enfin, le chapitre 7 se penche sur l’adaptation cicéronienne du rapport entre les astres divins et la philosophie et montre la tentative de définition d’une philosophie proprement romaine par l’Arpinate.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Cicéron et la translatio : contre l’interpres, de la rhétorique à la philosophie</w:t>
              </w:r>
            </w:hyperlink>
          </w:p>
          <w:p>
            <w:pPr/>
            <w:hyperlink r:id="rId8" w:history="1">
              <w:r>
                <w:rPr>
                  <w:color w:val="#410a8c"/>
                  <w:u w:val="single"/>
                </w:rPr>
                <w:t xml:space="preserve">Jeanne Ravaute</w:t>
              </w:r>
            </w:hyperlink>
          </w:p>
          <w:p>
            <w:pPr/>
            <w:r>
              <w:rPr>
                <w:i w:val="1"/>
                <w:iCs w:val="1"/>
              </w:rPr>
              <w:t xml:space="preserve">Vita Latina</w:t>
            </w:r>
            <w:r>
              <w:rPr/>
              <w:t xml:space="preserve">, 2026, 206, </w:t>
            </w:r>
            <w:hyperlink r:id="rId9" w:history="1">
              <w:r>
                <w:rPr>
                  <w:color w:val="#410a8c"/>
                  <w:u w:val="single"/>
                </w:rPr>
                <w:t xml:space="preserve">⟨10.4000/15lm0⟩</w:t>
              </w:r>
            </w:hyperlink>
          </w:p>
          <w:p>
            <w:pPr/>
            <w:r>
              <w:rPr/>
              <w:t xml:space="preserve">Article dans une revue</w:t>
            </w:r>
          </w:p>
          <w:p>
            <w:pPr/>
            <w:hyperlink r:id="rId7" w:history="1">
              <w:r>
                <w:rPr>
                  <w:color w:val="#410a8c"/>
                  <w:u w:val="single"/>
                </w:rPr>
                <w:t xml:space="preserve">hal-05596362v1</w:t>
              </w:r>
            </w:hyperlink>
          </w:p>
        </w:tc>
      </w:tr>
      <w:tr>
        <w:trPr/>
        <w:tc>
          <w:tcPr>
            <w:noWrap/>
          </w:tcPr>
          <w:p>
            <w:pPr>
              <w:spacing w:after="200"/>
            </w:pPr>
            <w:hyperlink r:id="rId10" w:history="1">
              <w:r>
                <w:rPr>
                  <w:color w:val="1e198e"/>
                  <w:b w:val="1"/>
                  <w:bCs w:val="1"/>
                  <w:u w:val="single"/>
                </w:rPr>
                <w:t xml:space="preserve">Les traductions d’οὐσία dans le Timée cicéronien</w:t>
              </w:r>
            </w:hyperlink>
          </w:p>
          <w:p>
            <w:pPr/>
            <w:hyperlink r:id="rId8" w:history="1">
              <w:r>
                <w:rPr>
                  <w:color w:val="#410a8c"/>
                  <w:u w:val="single"/>
                </w:rPr>
                <w:t xml:space="preserve">Jeanne Ravaute</w:t>
              </w:r>
            </w:hyperlink>
          </w:p>
          <w:p>
            <w:pPr/>
            <w:r>
              <w:rPr>
                <w:i w:val="1"/>
                <w:iCs w:val="1"/>
              </w:rPr>
              <w:t xml:space="preserve">Philosophie antique - problèmes, renaissances, usages </w:t>
            </w:r>
            <w:r>
              <w:rPr/>
              <w:t xml:space="preserve">, 2022, 22, pp.65-91. </w:t>
            </w:r>
            <w:hyperlink r:id="rId11" w:history="1">
              <w:r>
                <w:rPr>
                  <w:color w:val="#410a8c"/>
                  <w:u w:val="single"/>
                </w:rPr>
                <w:t xml:space="preserve">⟨10.4000/philosant.6113⟩</w:t>
              </w:r>
            </w:hyperlink>
          </w:p>
          <w:p>
            <w:pPr/>
            <w:r>
              <w:rPr/>
              <w:t xml:space="preserve">Article dans une revue</w:t>
            </w:r>
          </w:p>
          <w:p>
            <w:pPr/>
            <w:hyperlink r:id="rId10" w:history="1">
              <w:r>
                <w:rPr>
                  <w:color w:val="#410a8c"/>
                  <w:u w:val="single"/>
                </w:rPr>
                <w:t xml:space="preserve">hal-03938507v1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Puiser aux sources grecques. Enquête sur le Timaeus de Cicéron</w:t>
              </w:r>
            </w:hyperlink>
          </w:p>
          <w:p>
            <w:pPr/>
            <w:hyperlink r:id="rId8" w:history="1">
              <w:r>
                <w:rPr>
                  <w:color w:val="#410a8c"/>
                  <w:u w:val="single"/>
                </w:rPr>
                <w:t xml:space="preserve">Jeanne Ravaute</w:t>
              </w:r>
            </w:hyperlink>
          </w:p>
          <w:p>
            <w:pPr/>
            <w:r>
              <w:rPr/>
              <w:t xml:space="preserve">Etudes classiques. Aix-Marseille Université, 2024. Français. </w:t>
            </w:r>
            <w:hyperlink r:id="rId13" w:history="1">
              <w:r>
                <w:rPr>
                  <w:color w:val="#410a8c"/>
                  <w:u w:val="single"/>
                </w:rPr>
                <w:t xml:space="preserve">⟨NNT : 2024AIXM0511⟩</w:t>
              </w:r>
            </w:hyperlink>
          </w:p>
          <w:p>
            <w:pPr/>
            <w:r>
              <w:rPr/>
              <w:t xml:space="preserve">Thèse</w:t>
            </w:r>
          </w:p>
          <w:p>
            <w:pPr/>
            <w:hyperlink r:id="rId12" w:history="1">
              <w:r>
                <w:rPr>
                  <w:color w:val="#410a8c"/>
                  <w:u w:val="single"/>
                </w:rPr>
                <w:t xml:space="preserve">tel-04923168v1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D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3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6362v1" TargetMode="External"/><Relationship Id="rId8" Type="http://schemas.openxmlformats.org/officeDocument/2006/relationships/hyperlink" Target="https://hal.science/search/index/?q=*&amp;authFullName_s=Jeanne Ravaute" TargetMode="External"/><Relationship Id="rId9" Type="http://schemas.openxmlformats.org/officeDocument/2006/relationships/hyperlink" Target="https://dx.doi.org/10.4000/15lm0" TargetMode="External"/><Relationship Id="rId10" Type="http://schemas.openxmlformats.org/officeDocument/2006/relationships/hyperlink" Target="https://hal.science/hal-03938507v1" TargetMode="External"/><Relationship Id="rId11" Type="http://schemas.openxmlformats.org/officeDocument/2006/relationships/hyperlink" Target="https://dx.doi.org/10.4000/philosant.6113" TargetMode="External"/><Relationship Id="rId12" Type="http://schemas.openxmlformats.org/officeDocument/2006/relationships/hyperlink" Target="https://hal.science/tel-04923168v1" TargetMode="External"/><Relationship Id="rId13" Type="http://schemas.openxmlformats.org/officeDocument/2006/relationships/hyperlink" Target="https://www.theses.fr/2024AIXM05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Jeanne Ravaute</dc:title>
  <dc:description>CV</dc:description>
  <dc:subject/>
  <cp:keywords/>
  <cp:category/>
  <cp:lastModifiedBy/>
  <dcterms:created xsi:type="dcterms:W3CDTF">2026-05-07T23:02:09+02:00</dcterms:created>
  <dcterms:modified xsi:type="dcterms:W3CDTF">2026-05-07T23:02:09+02:00</dcterms:modified>
</cp:coreProperties>
</file>

<file path=docProps/custom.xml><?xml version="1.0" encoding="utf-8"?>
<Properties xmlns="http://schemas.openxmlformats.org/officeDocument/2006/custom-properties" xmlns:vt="http://schemas.openxmlformats.org/officeDocument/2006/docPropsVTypes"/>
</file>