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Johanna Camp </w:t>
      </w:r>
      <w:r>
        <w:rPr>
          <w:color w:val="641e6e"/>
        </w:rPr>
        <w:t xml:space="preserve">Chercheure associée DICEN IDF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des transactions coopératives dans la transition hybride de l'Artisanat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Camp</w:t>
              </w:r>
            </w:hyperlink>
          </w:p>
          <w:p>
            <w:pPr/>
            <w:r>
              <w:rPr/>
              <w:t xml:space="preserve">Sciences de l'Homme et Société. Conservatoire National des Arts et Métiers,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tel-05541541v2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lieux de transition : quelle place pour la proximité dans une transition hybride et responsable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H2PTM'23 : La fabrique du sens à l’ère de l’information numérique : enjeux et défis</w:t>
            </w:r>
            <w:r>
              <w:rPr/>
              <w:t xml:space="preserve">, Oct 2023, Valenciennes, France. pp.194-200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hal-05196034v1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541541v2" TargetMode="External"/><Relationship Id="rId8" Type="http://schemas.openxmlformats.org/officeDocument/2006/relationships/hyperlink" Target="https://hal.science/search/index/?q=*&amp;authFullName_s=Johanna Camp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196034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Camp</dc:title>
  <dc:description>CV</dc:description>
  <dc:subject/>
  <cp:keywords/>
  <cp:category/>
  <cp:lastModifiedBy/>
  <dcterms:created xsi:type="dcterms:W3CDTF">2026-04-30T15:55:32+02:00</dcterms:created>
  <dcterms:modified xsi:type="dcterms:W3CDTF">2026-04-30T15:55:32+02:00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