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Joshua Fonti </w:t></w:r><w:r><w:rPr><w:color w:val="641e6e"/></w:rPr><w:t xml:space="preserve">- Doctorant au sein du laboratoire LHUMAIN, ED58- Ingénieur pour l’enseignement numérique à l’université de Nîmes- Enseignant vacataire UPVM3 </w:t></w:r></w:p><w:p><w:pPr><w:spacing w:before="600"/></w:pPr></w:p><w:p><w:pPr><w:spacing w:before="600"/></w:pPr></w:p><w:p><w:pPr><w:pStyle w:val="Heading2"/></w:pPr><w:r><w:rPr><w:color w:val="1e198e"/><w:b w:val="1"/><w:bCs w:val="1"/></w:rPr><w:t xml:space="preserve">Présentation</w:t></w:r></w:p><w:p><w:pPr><w:spacing w:after="100"/></w:pPr></w:p><w:p><w:pPr/><w:r><w:rPr/><w:t xml:space="preserve">Thématiques de recherche :</w:t></w:r></w:p><w:p><w:pPr><w:numPr><w:ilvl w:val="0"/><w:numId w:val="1"/></w:numPr></w:pPr><w:r><w:rPr><w:b w:val="1"/><w:bCs w:val="1"/></w:rPr><w:t xml:space="preserve">Humanités numériques :</w:t></w:r><w:r><w:rPr/><w:t xml:space="preserve"> utilisation d’outils techniques numériques ; relation humain/machine ; cyber-ethnographie.</w:t></w:r></w:p><w:p><w:pPr><w:numPr><w:ilvl w:val="0"/><w:numId w:val="1"/></w:numPr></w:pPr><w:r><w:rPr><w:b w:val="1"/><w:bCs w:val="1"/></w:rPr><w:t xml:space="preserve">Sciences du langage :</w:t></w:r><w:r><w:rPr/><w:t xml:space="preserve"> études de phénomènes communicationnels, des interactions mutimodales et des systèmes complexes ; développement d’outils numériques communicatifs ; adoption d’une reflexion ergonomique.</w:t></w:r></w:p><w:p><w:pPr><w:numPr><w:ilvl w:val="0"/><w:numId w:val="1"/></w:numPr></w:pPr><w:r><w:rPr><w:b w:val="1"/><w:bCs w:val="1"/></w:rPr><w:t xml:space="preserve">Sciences de l’éducation :</w:t></w:r><w:r><w:rPr/><w:t xml:space="preserve"> développement de compétences rattachées à la langue ; enseignement hybride ; refonte de formations centrées sur la communication (d’urgence ou non) ; développement de la conscience langagière & phonologique</w:t></w:r></w:p><w:p><w:pPr/><w:r><w:rPr/><w:t xml:space="preserve">Dans le cadre de mes travaux de recherche, je conçois le Langage comme un système complexe. En ce sens, j’envisage le fait que les interactions sont multimodales et influencées par le contexte communicationnel (qui est lui-même un produit des interactions dans la théorie goffmanienne). Je cherche ainsi à identifier des phénomènes langagiers/communicationnels dans des situations variées, à les analyser et à les replacer dans une dimension écologique.Je me spécialise dans les risques communicationnels et les outils techniques numériques (perçus comme des prothèses constituantes, constituées et constitutives de l‘humain selon les travaux de Perea, Steiner, Stigler) en étudiant les situations de détresse en mer et les considérations des sujets.</w:t></w:r></w:p><w:p><w:pPr/><w:r><w:rPr/><w:t xml:space="preserve">Axes clés : sciences du langages, analyses conversationnelles, analyses discursives, linguistique interactionnelle, systémique interactionnelle, ethnographie, cyber-ethnographie, approche multimodale.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Recension. Mathieu Goux et Pascale Mounier (dir.), La corrélation en diachronie longue (1450‑1800) : phrase, texte et discours »</w:t></w:r></w:hyperlink></w:p><w:p><w:pPr/><w:hyperlink r:id="rId9" w:history="1"><w:r><w:rPr><w:color w:val="#410a8c"/><w:u w:val="single"/></w:rPr><w:t xml:space="preserve">Joshua Fonti</w:t></w:r></w:hyperlink></w:p><w:p><w:pPr/><w:r><w:rPr><w:i w:val="1"/><w:iCs w:val="1"/></w:rPr><w:t xml:space="preserve">LIDIL - Revue de linguistique et de didactique des langues</w:t></w:r><w:r><w:rPr/><w:t xml:space="preserve">, 2025, 72, </w:t></w:r><w:hyperlink r:id="rId10" w:history="1"><w:r><w:rPr><w:color w:val="#410a8c"/><w:u w:val="single"/></w:rPr><w:t xml:space="preserve">⟨10.4000/152V8⟩</w:t></w:r></w:hyperlink></w:p><w:p><w:pPr/><w:r><w:rPr/><w:t xml:space="preserve">Article dans une revue</w:t></w:r></w:p><w:p><w:pPr/><w:hyperlink r:id="rId8" w:history="1"><w:r><w:rPr><w:color w:val="#410a8c"/><w:u w:val="single"/></w:rPr><w:t xml:space="preserve">hal-04991738v1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Evaluations et pratiques pédagogiques dans le supérieur</w:t></w:r></w:hyperlink></w:p><w:p><w:pPr/><w:hyperlink r:id="rId9" w:history="1"><w:r><w:rPr><w:color w:val="#410a8c"/><w:u w:val="single"/></w:rPr><w:t xml:space="preserve">Joshua Fonti</w:t></w:r></w:hyperlink></w:p><w:p><w:pPr/><w:r><w:rPr/><w:t xml:space="preserve">2026</w:t></w:r></w:p><w:p><w:pPr/><w:r><w:rPr/><w:t xml:space="preserve">Autre publication scientifique</w:t></w:r></w:p><w:p><w:pPr/><w:hyperlink r:id="rId11" w:history="1"><w:r><w:rPr><w:color w:val="#410a8c"/><w:u w:val="single"/></w:rPr><w:t xml:space="preserve">hal-05506487v1</w:t></w:r></w:hyperlink></w:p></w:tc></w:tr><w:tr><w:trPr/><w:tc><w:tcPr><w:noWrap/></w:tcPr><w:p><w:pPr><w:spacing w:after="200"/></w:pPr><w:hyperlink r:id="rId12" w:history="1"><w:r><w:rPr><w:color w:val="1e198e"/><w:b w:val="1"/><w:bCs w:val="1"/><w:u w:val="single"/></w:rPr><w:t xml:space="preserve">Formation des nouveaux maîtres de conférence sur l’intelligence artificielle pour l’enseignement, Université de Nîmes</w:t></w:r></w:hyperlink></w:p><w:p><w:pPr/><w:hyperlink r:id="rId9" w:history="1"><w:r><w:rPr><w:color w:val="#410a8c"/><w:u w:val="single"/></w:rPr><w:t xml:space="preserve">Joshua Fonti</w:t></w:r></w:hyperlink><w:r><w:rPr/><w:t xml:space="preserve">,</w:t></w:r><w:hyperlink r:id="rId13" w:history="1"><w:r><w:rPr><w:color w:val="#410a8c"/><w:u w:val="single"/></w:rPr><w:t xml:space="preserve">Xavier Moulin</w:t></w:r></w:hyperlink></w:p><w:p><w:pPr/><w:r><w:rPr/><w:t xml:space="preserve">2025</w:t></w:r></w:p><w:p><w:pPr/><w:r><w:rPr/><w:t xml:space="preserve">Autre publication scientifique</w:t></w:r></w:p><w:p><w:pPr/><w:hyperlink r:id="rId12" w:history="1"><w:r><w:rPr><w:color w:val="#410a8c"/><w:u w:val="single"/></w:rPr><w:t xml:space="preserve">hal-05363125v1</w:t></w:r></w:hyperlink></w:p></w:tc></w:tr><w:tr><w:trPr/><w:tc><w:tcPr><w:noWrap/></w:tcPr><w:p><w:pPr><w:spacing w:after="200"/></w:pPr><w:hyperlink r:id="rId14" w:history="1"><w:r><w:rPr><w:color w:val="1e198e"/><w:b w:val="1"/><w:bCs w:val="1"/><w:u w:val="single"/></w:rPr><w:t xml:space="preserve">Différencier les ressources/exercices pour faciliter les apprentissages.</w:t></w:r></w:hyperlink></w:p><w:p><w:pPr/><w:hyperlink r:id="rId9" w:history="1"><w:r><w:rPr><w:color w:val="#410a8c"/><w:u w:val="single"/></w:rPr><w:t xml:space="preserve">Joshua Fonti</w:t></w:r></w:hyperlink></w:p><w:p><w:pPr/><w:r><w:rPr/><w:t xml:space="preserve">2025</w:t></w:r></w:p><w:p><w:pPr/><w:r><w:rPr/><w:t xml:space="preserve">Autre publication scientifique</w:t></w:r></w:p><w:p><w:pPr/><w:hyperlink r:id="rId14" w:history="1"><w:r><w:rPr><w:color w:val="#410a8c"/><w:u w:val="single"/></w:rPr><w:t xml:space="preserve">hal-05363285v1</w:t></w:r></w:hyperlink></w:p></w:tc></w:tr><w:tr><w:trPr/><w:tc><w:tcPr><w:noWrap/></w:tcPr><w:p><w:pPr><w:spacing w:after="200"/></w:pPr><w:hyperlink r:id="rId15" w:history="1"><w:r><w:rPr><w:color w:val="1e198e"/><w:b w:val="1"/><w:bCs w:val="1"/><w:u w:val="single"/></w:rPr><w:t xml:space="preserve">Formation des nouveaux maîtres de conférence sur la pédagogie universitaire et l’utilisation de l’intelligence artificielle pour l’enseignement, Université de Nîmes</w:t></w:r></w:hyperlink></w:p><w:p><w:pPr/><w:hyperlink r:id="rId13" w:history="1"><w:r><w:rPr><w:color w:val="#410a8c"/><w:u w:val="single"/></w:rPr><w:t xml:space="preserve">Xavier Moulin</w:t></w:r></w:hyperlink><w:r><w:rPr/><w:t xml:space="preserve">,</w:t></w:r><w:hyperlink r:id="rId9" w:history="1"><w:r><w:rPr><w:color w:val="#410a8c"/><w:u w:val="single"/></w:rPr><w:t xml:space="preserve">Joshua Fonti</w:t></w:r></w:hyperlink></w:p><w:p><w:pPr/><w:r><w:rPr/><w:t xml:space="preserve">2024</w:t></w:r></w:p><w:p><w:pPr/><w:r><w:rPr/><w:t xml:space="preserve">Autre publication scientifique</w:t></w:r></w:p><w:p><w:pPr/><w:hyperlink r:id="rId15" w:history="1"><w:r><w:rPr><w:color w:val="#410a8c"/><w:u w:val="single"/></w:rPr><w:t xml:space="preserve">hal-04992153v1</w:t></w:r></w:hyperlink></w:p></w:tc></w:tr><w:tr><w:trPr/><w:tc><w:tcPr><w:noWrap/></w:tcPr><w:p><w:pPr><w:spacing w:after="200"/></w:pPr><w:hyperlink r:id="rId16" w:history="1"><w:r><w:rPr><w:color w:val="1e198e"/><w:b w:val="1"/><w:bCs w:val="1"/><w:u w:val="single"/></w:rPr><w:t xml:space="preserve">Formation à la pédagogie numérique dans le supérieur à destination des nouveaux MCF</w:t></w:r></w:hyperlink></w:p><w:p><w:pPr/><w:hyperlink r:id="rId17" w:history="1"><w:r><w:rPr><w:color w:val="#410a8c"/><w:u w:val="single"/></w:rPr><w:t xml:space="preserve">Marine Moreau</w:t></w:r></w:hyperlink><w:r><w:rPr/><w:t xml:space="preserve">,</w:t></w:r><w:hyperlink r:id="rId9" w:history="1"><w:r><w:rPr><w:color w:val="#410a8c"/><w:u w:val="single"/></w:rPr><w:t xml:space="preserve">Joshua Fonti</w:t></w:r></w:hyperlink></w:p><w:p><w:pPr/><w:r><w:rPr/><w:t xml:space="preserve">2023</w:t></w:r></w:p><w:p><w:pPr/><w:r><w:rPr/><w:t xml:space="preserve">Autre publication scientifique</w:t></w:r></w:p><w:p><w:pPr/><w:hyperlink r:id="rId16" w:history="1"><w:r><w:rPr><w:color w:val="#410a8c"/><w:u w:val="single"/></w:rPr><w:t xml:space="preserve">hal-05363140v1</w:t></w:r></w:hyperlink></w:p></w:tc></w:tr><w:tr><w:trPr/><w:tc><w:tcPr><w:noWrap/></w:tcPr><w:p><w:pPr><w:spacing w:after="200"/></w:pPr><w:hyperlink r:id="rId18" w:history="1"><w:r><w:rPr><w:color w:val="1e198e"/><w:b w:val="1"/><w:bCs w:val="1"/><w:u w:val="single"/></w:rPr><w:t xml:space="preserve">Séminaire Université de Nîmes : Les blocs de compétences</w:t></w:r></w:hyperlink></w:p><w:p><w:pPr/><w:hyperlink r:id="rId17" w:history="1"><w:r><w:rPr><w:color w:val="#410a8c"/><w:u w:val="single"/></w:rPr><w:t xml:space="preserve">Marine Moreau</w:t></w:r></w:hyperlink><w:r><w:rPr/><w:t xml:space="preserve">,</w:t></w:r><w:hyperlink r:id="rId9" w:history="1"><w:r><w:rPr><w:color w:val="#410a8c"/><w:u w:val="single"/></w:rPr><w:t xml:space="preserve">Joshua Fonti</w:t></w:r></w:hyperlink></w:p><w:p><w:pPr/><w:r><w:rPr/><w:t xml:space="preserve">2023</w:t></w:r></w:p><w:p><w:pPr/><w:r><w:rPr/><w:t xml:space="preserve">Autre publication scientifique</w:t></w:r></w:p><w:p><w:pPr/><w:hyperlink r:id="rId18" w:history="1"><w:r><w:rPr><w:color w:val="#410a8c"/><w:u w:val="single"/></w:rPr><w:t xml:space="preserve">hal-04991221v1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IA générative et ESR : contribution nîmoise à une charte nationale DEMOES</w:t></w:r></w:hyperlink></w:p><w:p><w:pPr/><w:hyperlink r:id="rId20" w:history="1"><w:r><w:rPr><w:color w:val="#410a8c"/><w:u w:val="single"/></w:rPr><w:t xml:space="preserve">Laurie Galvan</w:t></w:r></w:hyperlink><w:r><w:rPr/><w:t xml:space="preserve">,</w:t></w:r><w:hyperlink r:id="rId13" w:history="1"><w:r><w:rPr><w:color w:val="#410a8c"/><w:u w:val="single"/></w:rPr><w:t xml:space="preserve">Xavier Moulin</w:t></w:r></w:hyperlink><w:r><w:rPr/><w:t xml:space="preserve">,</w:t></w:r><w:hyperlink r:id="rId9" w:history="1"><w:r><w:rPr><w:color w:val="#410a8c"/><w:u w:val="single"/></w:rPr><w:t xml:space="preserve">Joshua Fonti</w:t></w:r></w:hyperlink></w:p><w:p><w:pPr/><w:r><w:rPr/><w:t xml:space="preserve">Nîmes Université. 2025, https://www.enseignementsup-recherche.gouv.fr/sites/default/files/2025-10/charte-d-usages-et-bonnes-pratiques-de-l-ia-des-projets-demoes--38023.pdf</w:t></w:r></w:p><w:p><w:pPr/><w:r><w:rPr/><w:t xml:space="preserve">Rapport</w:t></w:r></w:p><w:p><w:pPr/><w:hyperlink r:id="rId19" w:history="1"><w:r><w:rPr><w:color w:val="#410a8c"/><w:u w:val="single"/></w:rPr><w:t xml:space="preserve">hal-05549363v1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Effets de deux démarches d’apprentissage du lexique chez des élèves en CE2 : comparaison sur la notion de synonymie</w:t></w:r></w:hyperlink></w:p><w:p><w:pPr/><w:hyperlink r:id="rId9" w:history="1"><w:r><w:rPr><w:color w:val="#410a8c"/><w:u w:val="single"/></w:rPr><w:t xml:space="preserve">Joshua Fonti</w:t></w:r></w:hyperlink><w:r><w:rPr/><w:t xml:space="preserve">,</w:t></w:r><w:hyperlink r:id="rId22" w:history="1"><w:r><w:rPr><w:color w:val="#410a8c"/><w:u w:val="single"/></w:rPr><w:t xml:space="preserve">Mélissande Mertz</w:t></w:r></w:hyperlink></w:p><w:p><w:pPr/><w:r><w:rPr/><w:t xml:space="preserve">Education. 2023</w:t></w:r></w:p><w:p><w:pPr/><w:r><w:rPr/><w:t xml:space="preserve">Mémoire d'étudiant</w:t></w:r></w:p><w:p><w:pPr/><w:hyperlink r:id="rId21" w:history="1"><w:r><w:rPr><w:color w:val="#410a8c"/><w:u w:val="single"/></w:rPr><w:t xml:space="preserve">dumas-04502599v1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E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91738v1" TargetMode="External"/><Relationship Id="rId9" Type="http://schemas.openxmlformats.org/officeDocument/2006/relationships/hyperlink" Target="https://hal.science/search/index/?q=*&amp;authFullName_s=Joshua Fonti" TargetMode="External"/><Relationship Id="rId10" Type="http://schemas.openxmlformats.org/officeDocument/2006/relationships/hyperlink" Target="https://dx.doi.org/10.4000/152V8" TargetMode="External"/><Relationship Id="rId11" Type="http://schemas.openxmlformats.org/officeDocument/2006/relationships/hyperlink" Target="https://hal.science/hal-05506487v1" TargetMode="External"/><Relationship Id="rId12" Type="http://schemas.openxmlformats.org/officeDocument/2006/relationships/hyperlink" Target="https://hal.science/hal-05363125v1" TargetMode="External"/><Relationship Id="rId13" Type="http://schemas.openxmlformats.org/officeDocument/2006/relationships/hyperlink" Target="https://hal.science/search/index/?q=*&amp;authFullName_s=Xavier Moulin" TargetMode="External"/><Relationship Id="rId14" Type="http://schemas.openxmlformats.org/officeDocument/2006/relationships/hyperlink" Target="https://hal.science/hal-05363285v1" TargetMode="External"/><Relationship Id="rId15" Type="http://schemas.openxmlformats.org/officeDocument/2006/relationships/hyperlink" Target="https://hal.science/hal-04992153v1" TargetMode="External"/><Relationship Id="rId16" Type="http://schemas.openxmlformats.org/officeDocument/2006/relationships/hyperlink" Target="https://hal.science/hal-05363140v1" TargetMode="External"/><Relationship Id="rId17" Type="http://schemas.openxmlformats.org/officeDocument/2006/relationships/hyperlink" Target="https://hal.science/search/index/?q=*&amp;authFullName_s=Marine Moreau" TargetMode="External"/><Relationship Id="rId18" Type="http://schemas.openxmlformats.org/officeDocument/2006/relationships/hyperlink" Target="https://hal.science/hal-04991221v1" TargetMode="External"/><Relationship Id="rId19" Type="http://schemas.openxmlformats.org/officeDocument/2006/relationships/hyperlink" Target="https://hal.science/hal-05549363v1" TargetMode="External"/><Relationship Id="rId20" Type="http://schemas.openxmlformats.org/officeDocument/2006/relationships/hyperlink" Target="https://hal.science/search/index/?q=*&amp;authFullName_s=Laurie Galvan" TargetMode="External"/><Relationship Id="rId21" Type="http://schemas.openxmlformats.org/officeDocument/2006/relationships/hyperlink" Target="https://dumas.ccsd.cnrs.fr/dumas-04502599v1" TargetMode="External"/><Relationship Id="rId22" Type="http://schemas.openxmlformats.org/officeDocument/2006/relationships/hyperlink" Target="https://hal.science/search/index/?q=*&amp;authFullName_s=M&#233;lissande Mertz"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Joshua Fonti</dc:title>
  <dc:description>CV</dc:description>
  <dc:subject/>
  <cp:keywords/>
  <cp:category/>
  <cp:lastModifiedBy/>
  <dcterms:created xsi:type="dcterms:W3CDTF">2026-04-01T01:21:46+02:00</dcterms:created>
  <dcterms:modified xsi:type="dcterms:W3CDTF">2026-04-01T01:21:46+02:00</dcterms:modified>
</cp:coreProperties>
</file>

<file path=docProps/custom.xml><?xml version="1.0" encoding="utf-8"?>
<Properties xmlns="http://schemas.openxmlformats.org/officeDocument/2006/custom-properties" xmlns:vt="http://schemas.openxmlformats.org/officeDocument/2006/docPropsVTypes"/>
</file>