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Watine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saturation des marchés immobiliers locaux : quelles politiques de régulation des résidences secondaires en territoire touristique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Watine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colloque ASRDLF 2023 - Les territoires périphériques et ultrapériphériques face aux crises majeures. Le retour de la distance, Université de la Réunion</w:t>
            </w:r>
            <w:r>
              <w:rPr/>
              <w:t xml:space="preserve">, Jun 2023, Le Tampon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idéal alternatif et récupération spéculative, quelle place pour le « droit à la ville » dans la requalification des friches industrielles en lieux culturels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Watine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pp.421-424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hal-03114788v1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des résidences secondaires : un outil de régulation des marchés immobiliers locaux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Watine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hal-04400075v1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45071v1" TargetMode="External"/><Relationship Id="rId8" Type="http://schemas.openxmlformats.org/officeDocument/2006/relationships/hyperlink" Target="https://hal.science/search/index/?q=*&amp;authFullName_s=Julien Watine" TargetMode="External"/><Relationship Id="rId9" Type="http://schemas.openxmlformats.org/officeDocument/2006/relationships/hyperlink" Target="https://hal.science/hal-03114788v1" TargetMode="External"/><Relationship Id="rId10" Type="http://schemas.openxmlformats.org/officeDocument/2006/relationships/hyperlink" Target="https://hal.science/hal-04400075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Watine</dc:title>
  <dc:description>CV</dc:description>
  <dc:subject/>
  <cp:keywords/>
  <cp:category/>
  <cp:lastModifiedBy/>
  <dcterms:created xsi:type="dcterms:W3CDTF">2026-05-01T21:38:19+02:00</dcterms:created>
  <dcterms:modified xsi:type="dcterms:W3CDTF">2026-05-01T21:38:19+02:00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