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Laëtitia Lanteri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laetitia-lanteri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0000-0002-5027-4793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199525366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M-8197-2014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</w:p>
    <w:p>
      <w:pPr/>
      <w:r>
        <w:rPr/>
        <w:t xml:space="preserve">&amp;gt; **Recrutement, paléodémographie et cémentochronologie** **Application à un contexte d'inhumation paroissial d'Ancien Régime:** **Notre-Dame du Bourg à Digne-les-Bains**</w:t>
      </w:r>
    </w:p>
    <w:p>
      <w:pPr/>
      <w:r>
        <w:rPr/>
        <w:t xml:space="preserve">Thèse de doctorat sous la direction d'Aurore Schmitt et de Michel Signoli Soutenue le 15 Janvier 2016 - Mention très honorable avec félicitations du jury à l'unanimité</w:t>
      </w:r>
    </w:p>
    <w:p>
      <w:pPr/>
      <w:r>
        <w:rPr/>
        <w:t xml:space="preserve">    ![image](http://s27.postimg.org/wcmbhn54j/image.jpg)</w:t>
      </w:r>
    </w:p>
    <w:p>
      <w:pPr/>
      <w:r>
        <w:rPr/>
        <w:t xml:space="preserve">(Photos: L. Lanteri)</w:t>
      </w:r>
    </w:p>
    <w:p>
      <w:pPr/>
      <w:r>
        <w:rPr/>
        <w:t xml:space="preserve">  ![légende](http://s29.postimg.org/anp194icn/l_gende.png)            De nombreux biais inhérents à l’estimation de l’âge au décès individuel ont conduit à privilégier l’âge populationnel en paléodémographie mais la **cémentochronologie** a récemment montré une c**orrélation élevée entre âge biologique et âge réel et une meilleure précision** par rapport aux méthodes couramment employées. En outre, l’annualité de l’apposition cémentaire permet de **proposer une alternative à la population de référence** dont la composition par âge et par sexe influence la distribution par âge au décès de l’échantillon étudié. Notre objectif consiste à **réaliser une étude paléodémographique à partir d’estimations d’âge au décès individuel obtenues par comptage des lignes d’incrément cémentaires**. Nous avons sélectionné la série ostéoarchéologique moderne de la cathédrale paroissiale Notre-Dame du Bourg à Digne-les-Bains, composée de 563 individus inhumés du XVIe au XVIIIe siècle. Suite à l’analyse des pratiques funéraires, relativement standardisées et connues pour l’époque moderne, les données issues des **archives historiques exhaustivement dépouillées de 1671 à 1721** sont comparées aux résultats de l’étude biologique et paléodémographique des **421 adultes et 142 immatures** inhumés dans la cathédrale. Les archives indiquent des fluctuations démographiques typiques d’une population préindustrielle qui subit une crise de mortalité en 1691-1692. La répartition par sexe et âge s’accorde avec les sources historiques sur un **recrutement funéraire aspécifique**. L’estimation de l’âge au décès par comptage des lignes d’incrément cémentaires est appliquée à **109 adultes et, pour la première fois, aux dents déciduales et permanentes de 42 immatures**. La distribution probable par âge au décès des individus est obtenue en calculant les probabilités d’appartenance individuelles aux différentes classes d’âges. L’analyse du recrutement est concluante puisque le **profil de mortalité par âge obtenu est conforme au schéma de mortalité archaïque et à celui des archives historiques** pour les adultes jeunes et matures. Les adultes âgés sont sous-représentés en raison du mauvais état de conservation et de représentation du matériel dentaire. L’approche que nous avons proposée est novatrice. Elle r**établit l‘utilisation de l’âge individuel en paléodémographie** grâce à la spécificité biologique du cément dentaire---</w:t>
      </w:r>
    </w:p>
    <w:p>
      <w:pPr/>
      <w:r>
        <w:rPr/>
        <w:t xml:space="preserve">Several biases related to classical age estimation led to privilege assessing age structures of populations. But </w:t>
      </w:r>
      <w:r>
        <w:rPr>
          <w:b w:val="1"/>
          <w:bCs w:val="1"/>
        </w:rPr>
        <w:t xml:space="preserve">cementochronology provides a better accuracy and a higher correlation coefficient with chronological age</w:t>
      </w:r>
      <w:r>
        <w:rPr/>
        <w:t xml:space="preserve"> than commonly used methods. Moreover, the annual apposition of dental cementum offers an </w:t>
      </w:r>
      <w:r>
        <w:rPr>
          <w:b w:val="1"/>
          <w:bCs w:val="1"/>
        </w:rPr>
        <w:t xml:space="preserve">alternative to the reference population</w:t>
      </w:r>
      <w:r>
        <w:rPr/>
        <w:t xml:space="preserve"> whose age composition influences those of the studied sample. </w:t>
      </w:r>
      <w:r>
        <w:rPr>
          <w:b w:val="1"/>
          <w:bCs w:val="1"/>
        </w:rPr>
        <w:t xml:space="preserve">We aim to achieve a paleodemographic study using classical age estimates obtained by cementochronology</w:t>
      </w:r>
      <w:r>
        <w:rPr/>
        <w:t xml:space="preserve">. We select the modern osteoarcheological series of the cathedral Notre Dame du Bourg at Digne-les-Bains (France), composed by 563 individuals who were buried between the 16th to the 18th century. To monitor the biological results, we examine all the </w:t>
      </w:r>
      <w:r>
        <w:rPr>
          <w:b w:val="1"/>
          <w:bCs w:val="1"/>
        </w:rPr>
        <w:t xml:space="preserve">parish registers from 1671 to 1721</w:t>
      </w:r>
      <w:r>
        <w:rPr/>
        <w:t xml:space="preserve">. After the analysis of burial practices, quite standardized and well-known for the modern period, data from the historical archives are compared with the results of the biological and paleodemographic studies of </w:t>
      </w:r>
      <w:r>
        <w:rPr>
          <w:b w:val="1"/>
          <w:bCs w:val="1"/>
        </w:rPr>
        <w:t xml:space="preserve">421 adults and 142 subadults</w:t>
      </w:r>
      <w:r>
        <w:rPr/>
        <w:t xml:space="preserve">. Historical records indicate a pre-industrial demography with annual fluctuations and a remarkable mortality crisis in 1691-1692. Biological data are consistent with the historical sources about an </w:t>
      </w:r>
      <w:r>
        <w:rPr>
          <w:b w:val="1"/>
          <w:bCs w:val="1"/>
        </w:rPr>
        <w:t xml:space="preserve">unspecific funerary admission</w:t>
      </w:r>
      <w:r>
        <w:rPr/>
        <w:t xml:space="preserve"> in the cathedral Notre Dame du Bourg. We count cementum annulations of 1</w:t>
      </w:r>
      <w:r>
        <w:rPr>
          <w:b w:val="1"/>
          <w:bCs w:val="1"/>
        </w:rPr>
        <w:t xml:space="preserve">09 adults' permanent canines and of 42 subadults' deciduous and permanent single-root teeth</w:t>
      </w:r>
      <w:r>
        <w:rPr/>
        <w:t xml:space="preserve">. The probable age-at-death distribution is obtained by calculating the belonging probabilities of each individual to each age group. </w:t>
      </w:r>
      <w:r>
        <w:rPr>
          <w:b w:val="1"/>
          <w:bCs w:val="1"/>
        </w:rPr>
        <w:t xml:space="preserve">Our interpretation of funerary admission obtained by tooth cementum analysis is conclusive</w:t>
      </w:r>
      <w:r>
        <w:rPr/>
        <w:t xml:space="preserve"> for young and middle-aged adults since the </w:t>
      </w:r>
      <w:r>
        <w:rPr>
          <w:b w:val="1"/>
          <w:bCs w:val="1"/>
        </w:rPr>
        <w:t xml:space="preserve">mortality profile is consistent with both the archaic mortality pattern and historical records</w:t>
      </w:r>
      <w:r>
        <w:rPr/>
        <w:t xml:space="preserve">. The sampling bias we suspected due to poor state of preservation and representation of dental material leads to the under-representation of older adults. We propose an innovative approach which </w:t>
      </w:r>
      <w:r>
        <w:rPr>
          <w:b w:val="1"/>
          <w:bCs w:val="1"/>
        </w:rPr>
        <w:t xml:space="preserve">restores the use of classical age-at-death in paleodemography</w:t>
      </w:r>
      <w:r>
        <w:rPr/>
        <w:t xml:space="preserve"> through the biological specificity of cementum.    ###</w:t>
      </w:r>
    </w:p>
    <w:p>
      <w:pPr>
        <w:pStyle w:val="Heading3"/>
      </w:pPr>
      <w:r>
        <w:rPr/>
        <w:t xml:space="preserve">Parcours</w:t>
      </w:r>
    </w:p>
    <w:p>
      <w:pPr>
        <w:numPr>
          <w:ilvl w:val="0"/>
          <w:numId w:val="2"/>
        </w:numPr>
      </w:pPr>
      <w:r>
        <w:rPr/>
        <w:t xml:space="preserve">2006 - 2009 : Licence Histoire de l'art et archéologie, Université de Provence Aix-Marseille I</w:t>
      </w:r>
    </w:p>
    <w:p>
      <w:pPr>
        <w:numPr>
          <w:ilvl w:val="0"/>
          <w:numId w:val="2"/>
        </w:numPr>
      </w:pPr>
      <w:r>
        <w:rPr/>
        <w:t xml:space="preserve">2009 - 2011 : Master Anthropologie biologique, Université de la Méditerranée Aix Marseille II. Mémoire: &amp;quot;Variabilité intra-individuelle de l'estimation de l'âge au décès adulte à partir des anneaux du cément dentaire&amp;quot; sous la direction d'Aurore SCHMITT et Bruno FOTI (UMR 6578 CNRS)</w:t>
      </w:r>
    </w:p>
    <w:p>
      <w:pPr>
        <w:numPr>
          <w:ilvl w:val="0"/>
          <w:numId w:val="2"/>
        </w:numPr>
      </w:pPr>
      <w:r>
        <w:rPr/>
        <w:t xml:space="preserve">2011 - 2015 : Doctorat en Anthropologie biologique, UMR 7268 ADÉS - AMU - CNRS - EFS Méditerranée</w:t>
      </w:r>
    </w:p>
    <w:p>
      <w:pPr>
        <w:pStyle w:val="Heading3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Cementochronology: A solution to assess mortality profiles from individual age-at-death estimates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20, pp.576-587.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⟨10.1016/j.jasrep.2018.05.022⟩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hal-01818531v1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 : A Solution To Reconstructing Past Populations' Mortality Profiles Using Individual Age-At-Death Estimates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Bérengère Saliba‐serre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/>
              <w:t xml:space="preserve">Naji S., Rendu W., Gourichon L. </w:t>
            </w:r>
            <w:r>
              <w:rPr>
                <w:i w:val="1"/>
                <w:iCs w:val="1"/>
              </w:rPr>
              <w:t xml:space="preserve">Dental cementum in Anthropology</w:t>
            </w:r>
            <w:r>
              <w:rPr/>
              <w:t xml:space="preserve">, Cambridge University Press, pp.338-350,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hal-03701155v1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27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99D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lanteri" TargetMode="External"/><Relationship Id="rId8" Type="http://schemas.openxmlformats.org/officeDocument/2006/relationships/hyperlink" Target="https://orcid.org/0000-0002-5027-4793" TargetMode="External"/><Relationship Id="rId9" Type="http://schemas.openxmlformats.org/officeDocument/2006/relationships/hyperlink" Target="https://www.idref.fr/199525366" TargetMode="External"/><Relationship Id="rId10" Type="http://schemas.openxmlformats.org/officeDocument/2006/relationships/hyperlink" Target="http://www.researcherid.com/rid/M-8197-2014" TargetMode="External"/><Relationship Id="rId11" Type="http://schemas.openxmlformats.org/officeDocument/2006/relationships/hyperlink" Target="https://hal.science/hal-01818531v1" TargetMode="External"/><Relationship Id="rId12" Type="http://schemas.openxmlformats.org/officeDocument/2006/relationships/hyperlink" Target="https://hal.science/search/index/?q=*&amp;authFullName_s=La&#235;titia Lanteri" TargetMode="External"/><Relationship Id="rId13" Type="http://schemas.openxmlformats.org/officeDocument/2006/relationships/hyperlink" Target="https://hal.science/search/index/?q=*&amp;authFullName_s=Bruno Bizot" TargetMode="External"/><Relationship Id="rId14" Type="http://schemas.openxmlformats.org/officeDocument/2006/relationships/hyperlink" Target="https://hal.science/search/index/?q=*&amp;authFullName_s=Jean Gaudart" TargetMode="External"/><Relationship Id="rId15" Type="http://schemas.openxmlformats.org/officeDocument/2006/relationships/hyperlink" Target="https://hal.science/search/index/?q=*&amp;authFullName_s=Michel Signoli" TargetMode="External"/><Relationship Id="rId16" Type="http://schemas.openxmlformats.org/officeDocument/2006/relationships/hyperlink" Target="https://hal.science/search/index/?q=*&amp;authFullName_s=Aurore Schmitt" TargetMode="External"/><Relationship Id="rId17" Type="http://schemas.openxmlformats.org/officeDocument/2006/relationships/hyperlink" Target="https://dx.doi.org/10.1016/j.jasrep.2018.05.022" TargetMode="External"/><Relationship Id="rId18" Type="http://schemas.openxmlformats.org/officeDocument/2006/relationships/hyperlink" Target="https://hal.science/hal-03701155v1" TargetMode="External"/><Relationship Id="rId19" Type="http://schemas.openxmlformats.org/officeDocument/2006/relationships/hyperlink" Target="https://hal.science/search/index/?q=*&amp;authFullName_s=B&#233;reng&#232;re Saliba&#8208;serre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Lanteri</dc:title>
  <dc:description>CV</dc:description>
  <dc:subject/>
  <cp:keywords/>
  <cp:category/>
  <cp:lastModifiedBy/>
  <dcterms:created xsi:type="dcterms:W3CDTF">2026-03-20T10:52:23+01:00</dcterms:created>
  <dcterms:modified xsi:type="dcterms:W3CDTF">2026-03-20T10:52:23+01:00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