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 Trotin </w:t>
      </w:r>
      <w:r>
        <w:rPr>
          <w:color w:val="641e6e"/>
        </w:rPr>
        <w:t xml:space="preserve">Doctorant contractuel au sein de l'Université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leo-trotin</w:t>
        </w:r>
      </w:hyperlink>
    </w:p>
    <w:p>
      <w:pPr>
        <w:numPr>
          <w:ilvl w:val="0"/>
          <w:numId w:val="1"/>
        </w:numPr>
      </w:pPr>
      <w:r>
        <w:rPr/>
        <w:t xml:space="preserve"> ORCID : </w:t>
      </w:r>
      <w:hyperlink r:id="rId8" w:history="1">
        <w:r>
          <w:rPr>
            <w:color w:val="#410a8c"/>
            <w:u w:val="single"/>
          </w:rPr>
          <w:t xml:space="preserve">0009-0006-7626-344X</w:t>
        </w:r>
      </w:hyperlink>
    </w:p>
    <w:p>
      <w:pPr>
        <w:spacing w:before="600"/>
      </w:pPr>
    </w:p>
    <w:p>
      <w:pPr>
        <w:pStyle w:val="Heading2"/>
      </w:pPr>
      <w:r>
        <w:rPr>
          <w:color w:val="1e198e"/>
          <w:b w:val="1"/>
          <w:bCs w:val="1"/>
        </w:rPr>
        <w:t xml:space="preserve">Présentation</w:t>
      </w:r>
    </w:p>
    <w:p>
      <w:pPr>
        <w:spacing w:after="100"/>
      </w:pPr>
    </w:p>
    <w:p>
      <w:pPr/>
      <w:r>
        <w:rPr>
          <w:b w:val="1"/>
          <w:bCs w:val="1"/>
        </w:rPr>
        <w:t xml:space="preserve">Direction :</w:t>
      </w:r>
      <w:r>
        <w:rPr/>
        <w:t xml:space="preserve">Franck Collard (MeMo, Université Paris Nanterre) et Pierre-Olivier Dittmar (CRH, EHESS)</w:t>
      </w:r>
    </w:p>
    <w:p>
      <w:pPr/>
      <w:r>
        <w:rPr>
          <w:b w:val="1"/>
          <w:bCs w:val="1"/>
        </w:rPr>
        <w:t xml:space="preserve">Titre de thèse :</w:t>
      </w:r>
      <w:r>
        <w:rPr/>
        <w:t xml:space="preserve">Précis de décomposition. Compréhensions, perceptions et représentations du pourrissement et de la pourriture dans l’Occident médiéval (XIIe-XVIe)</w:t>
      </w:r>
    </w:p>
    <w:p>
      <w:pPr/>
      <w:r>
        <w:rPr>
          <w:b w:val="1"/>
          <w:bCs w:val="1"/>
        </w:rPr>
        <w:t xml:space="preserve">Résumé de la thèse :</w:t>
      </w:r>
      <w:r>
        <w:rPr/>
        <w:t xml:space="preserve">L'historiographie qui s'est intéressée au thème de la fin de vie s'est principalement interrogée sur les rites qui l'encadrent et sur l'au-delà. Elle a longtemps laissé de côté son aspect tangible : la matière morte. Pourtant, étudier le pourrissement et la pourriture permet d'interroger les médiévaux sur ce qui constitue pour eux la limite entre le vivant et le mort. Cela permet d'enquêter sur la place de la matière transformée et en transformation dans la société médiévale et, dans une perspective d'anthropologie de la vie, d'approfondir la compréhension des processus vitaux selon la pensée médiévale. L'étude débute au XIIe, une période marquée par un intérêt croissant pour la matérialité du corps, et se poursuivra jusqu'au début du XVIe siècle, époque où apparaît le premier traité sur la pourriture et le pourrissement. En utilisant des sources religieuses, théologiques, scientifiques, littéraires, iconographiques ainsi que des récits normatifs et juridiques, le projet analysera les compréhensions, les perceptions et les représentations du pourrissement et de la pourriture. Tout comme il existe des théories de la génération, il existe des théories de la corruption qu'il sera nécessaire d'expliquer, en explorant comment les médiévaux percevaient l'apparition, le développement et la disparition de la pourriture, en analysant ses manifestations visuelles à travers les formes, textures et couleurs, et en établissant une typologie des processus de décomposition. Si le pourrissement et la pourriture relèvent d’une histoire naturelle, il est également essentiel d’examiner leur intégration dans la société médiévale. Cela implique d’étudier les interactions entre les individus et la décomposition, en identifiant les objets et les lieux de contact ainsi que les émotions et sensations qu’elle suscite. Enfin, il est important de questionner l'idée d'un tabou ou d'un dégoût associé au pourrissement et à la pourriture en explorant leur relation avec la toxicité et en déterminant s'ils sont la conséquence ou la cause de désordres corporels, tout en dépassant les poncifs des auteurs grâce à une analyse structurelle des sources.</w:t>
      </w:r>
    </w:p>
    <w:p>
      <w:pPr/>
      <w:r>
        <w:rPr>
          <w:b w:val="1"/>
          <w:bCs w:val="1"/>
        </w:rPr>
        <w:t xml:space="preserve">Champs de recherche :</w:t>
      </w:r>
    </w:p>
    <w:p>
      <w:pPr>
        <w:numPr>
          <w:ilvl w:val="0"/>
          <w:numId w:val="2"/>
        </w:numPr>
      </w:pPr>
      <w:r>
        <w:rPr/>
        <w:t xml:space="preserve">Histoire médiévale</w:t>
      </w:r>
    </w:p>
    <w:p>
      <w:pPr>
        <w:numPr>
          <w:ilvl w:val="0"/>
          <w:numId w:val="2"/>
        </w:numPr>
      </w:pPr>
      <w:r>
        <w:rPr/>
        <w:t xml:space="preserve">Humanités numériques</w:t>
      </w:r>
    </w:p>
    <w:p>
      <w:pPr>
        <w:numPr>
          <w:ilvl w:val="0"/>
          <w:numId w:val="2"/>
        </w:numPr>
      </w:pPr>
      <w:r>
        <w:rPr/>
        <w:t xml:space="preserve">Histoire de la mort</w:t>
      </w:r>
    </w:p>
    <w:p>
      <w:pPr>
        <w:numPr>
          <w:ilvl w:val="0"/>
          <w:numId w:val="2"/>
        </w:numPr>
      </w:pPr>
      <w:r>
        <w:rPr/>
        <w:t xml:space="preserve">Histoire du corps</w:t>
      </w:r>
    </w:p>
    <w:p>
      <w:pPr/>
      <w:r>
        <w:rPr>
          <w:b w:val="1"/>
          <w:bCs w:val="1"/>
        </w:rPr>
        <w:t xml:space="preserve">Travaux de recherche :</w:t>
      </w:r>
    </w:p>
    <w:p>
      <w:pPr>
        <w:numPr>
          <w:ilvl w:val="0"/>
          <w:numId w:val="3"/>
        </w:numPr>
      </w:pPr>
      <w:r>
        <w:rPr>
          <w:i w:val="1"/>
          <w:iCs w:val="1"/>
        </w:rPr>
        <w:t xml:space="preserve">Mise en relation de deux bases de données de recherche en XML-TEI. L’exemple de ThEMA et de SourcEncyMe</w:t>
      </w:r>
      <w:r>
        <w:rPr/>
        <w:t xml:space="preserve">, École nationale des chartes, Mémoire de Master, 2024.</w:t>
      </w:r>
    </w:p>
    <w:p>
      <w:pPr>
        <w:numPr>
          <w:ilvl w:val="0"/>
          <w:numId w:val="3"/>
        </w:numPr>
      </w:pPr>
      <w:r>
        <w:rPr>
          <w:i w:val="1"/>
          <w:iCs w:val="1"/>
        </w:rPr>
        <w:t xml:space="preserve">&amp;quot;li corps, ce n’est c’un peu de terre pourrie&amp;quot; ? : L’usage du cadavre dans les récits exemplaires médiévaux (XIIe-XIVe siècles)</w:t>
      </w:r>
      <w:r>
        <w:rPr/>
        <w:t xml:space="preserve">, Université de Lille, Mémoire de Master, 2023.</w:t>
      </w:r>
    </w:p>
    <w:p>
      <w:pPr>
        <w:numPr>
          <w:ilvl w:val="0"/>
          <w:numId w:val="3"/>
        </w:numPr>
      </w:pPr>
      <w:r>
        <w:rPr>
          <w:i w:val="1"/>
          <w:iCs w:val="1"/>
        </w:rPr>
        <w:t xml:space="preserve">Pendaison et gibet dans le Ci nous dit de Chantilly</w:t>
      </w:r>
      <w:r>
        <w:rPr/>
        <w:t xml:space="preserve">, Université de Lille, Travail d’Étude et de Recherche, 2021.</w:t>
      </w:r>
    </w:p>
    <w:p>
      <w:pPr/>
      <w:r>
        <w:rPr>
          <w:b w:val="1"/>
          <w:bCs w:val="1"/>
        </w:rPr>
        <w:t xml:space="preserve">Publications :</w:t>
      </w:r>
      <w:r>
        <w:rPr/>
        <w:t xml:space="preserve">Léo Trotin, &amp;quot;Pendus et gibets dans les récits exemplaires médiévaux. Les </w:t>
      </w:r>
      <w:r>
        <w:rPr>
          <w:i w:val="1"/>
          <w:iCs w:val="1"/>
        </w:rPr>
        <w:t xml:space="preserve">exempla</w:t>
      </w:r>
      <w:r>
        <w:rPr/>
        <w:t xml:space="preserve"> du </w:t>
      </w:r>
      <w:r>
        <w:rPr>
          <w:i w:val="1"/>
          <w:iCs w:val="1"/>
        </w:rPr>
        <w:t xml:space="preserve">Ci nous dit</w:t>
      </w:r>
      <w:r>
        <w:rPr/>
        <w:t xml:space="preserve"> de Chantilly, un recueil enluminé destiné aux laïcs&amp;quot;, Elliot Adam, Lionel Germain (ed.), </w:t>
      </w:r>
      <w:r>
        <w:rPr>
          <w:i w:val="1"/>
          <w:iCs w:val="1"/>
        </w:rPr>
        <w:t xml:space="preserve">Histoire, Archéologie, Histoire de l'art : Master 2022 : actes du VIIIe Colloque des étudiants de Master en Histoire, Archéologie et Histoire de l'Art de l'université de Lille et de l'université du Littoral-Côte d'Opale, Villeneuve d'Ascq 24-25 mai 2022</w:t>
      </w:r>
      <w:r>
        <w:rPr/>
        <w:t xml:space="preserve">, Presses Universitaires du Septentrion, Villeneuve-d'Ascq, 2024, p. 43-56.</w:t>
      </w:r>
    </w:p>
    <w:p>
      <w:pPr/>
      <w:r>
        <w:rPr>
          <w:b w:val="1"/>
          <w:bCs w:val="1"/>
        </w:rPr>
        <w:t xml:space="preserve">Parcours académique :</w:t>
      </w:r>
    </w:p>
    <w:p>
      <w:pPr>
        <w:numPr>
          <w:ilvl w:val="0"/>
          <w:numId w:val="4"/>
        </w:numPr>
      </w:pPr>
      <w:r>
        <w:rPr/>
        <w:t xml:space="preserve">Doctorat en Histoire | Université Paris Nanterre | Depuis 2024</w:t>
      </w:r>
    </w:p>
    <w:p>
      <w:pPr>
        <w:numPr>
          <w:ilvl w:val="0"/>
          <w:numId w:val="4"/>
        </w:numPr>
      </w:pPr>
      <w:r>
        <w:rPr/>
        <w:t xml:space="preserve">Master TNAH | École nationale des chartes | Mention Bien |2023-2024</w:t>
      </w:r>
    </w:p>
    <w:p>
      <w:pPr>
        <w:numPr>
          <w:ilvl w:val="0"/>
          <w:numId w:val="4"/>
        </w:numPr>
      </w:pPr>
      <w:r>
        <w:rPr/>
        <w:t xml:space="preserve">Master Histoire | Université de Lille | Mention Très Bien |2021-2023</w:t>
      </w:r>
    </w:p>
    <w:p>
      <w:pPr>
        <w:numPr>
          <w:ilvl w:val="0"/>
          <w:numId w:val="4"/>
        </w:numPr>
      </w:pPr>
      <w:r>
        <w:rPr/>
        <w:t xml:space="preserve">Licence Histoire | Université de Lille | Mention Bien |2018-2021</w:t>
      </w:r>
    </w:p>
    <w:p>
      <w:pPr>
        <w:numPr>
          <w:ilvl w:val="0"/>
          <w:numId w:val="4"/>
        </w:numPr>
      </w:pPr>
      <w:r>
        <w:rPr/>
        <w:t xml:space="preserve">Baccalauréat | Lycée Kernanec (59) | Mention Bien | 2014 - 2017</w:t>
      </w:r>
    </w:p>
    <w:p>
      <w:pPr/>
      <w:r>
        <w:rPr>
          <w:b w:val="1"/>
          <w:bCs w:val="1"/>
        </w:rPr>
        <w:t xml:space="preserve">Expériences de recherche et stages :</w:t>
      </w:r>
    </w:p>
    <w:p>
      <w:pPr>
        <w:numPr>
          <w:ilvl w:val="0"/>
          <w:numId w:val="5"/>
        </w:numPr>
      </w:pPr>
      <w:r>
        <w:rPr/>
        <w:t xml:space="preserve">IRHT | Formation sur les manuscrits scientifiques médiévaux | 1 semaine |2024</w:t>
      </w:r>
    </w:p>
    <w:p>
      <w:pPr>
        <w:numPr>
          <w:ilvl w:val="0"/>
          <w:numId w:val="5"/>
        </w:numPr>
      </w:pPr>
      <w:r>
        <w:rPr/>
        <w:t xml:space="preserve">EHESS - IRHT | Mise en relation de deux bases de données XML-TEI | 4 mois | 2024</w:t>
      </w:r>
    </w:p>
    <w:p>
      <w:pPr>
        <w:numPr>
          <w:ilvl w:val="0"/>
          <w:numId w:val="5"/>
        </w:numPr>
      </w:pPr>
      <w:r>
        <w:rPr/>
        <w:t xml:space="preserve">Archives départementales du Nord | Récolement d’archives judiciaires |2 semaines |  2023</w:t>
      </w:r>
    </w:p>
    <w:p>
      <w:pPr>
        <w:numPr>
          <w:ilvl w:val="0"/>
          <w:numId w:val="5"/>
        </w:numPr>
      </w:pPr>
      <w:r>
        <w:rPr/>
        <w:t xml:space="preserve">Archives municipales de Tourcoing | Tri et reconditionnement d’archives | 2 semaines | 2023</w:t>
      </w:r>
    </w:p>
    <w:p>
      <w:pPr>
        <w:numPr>
          <w:ilvl w:val="0"/>
          <w:numId w:val="5"/>
        </w:numPr>
      </w:pPr>
      <w:r>
        <w:rPr/>
        <w:t xml:space="preserve">EHESS | Indexation de récits exemplaires médiévaux | 2 semaines |  2022</w:t>
      </w:r>
    </w:p>
    <w:p>
      <w:pPr>
        <w:numPr>
          <w:ilvl w:val="0"/>
          <w:numId w:val="5"/>
        </w:numPr>
      </w:pPr>
      <w:r>
        <w:rPr/>
        <w:t xml:space="preserve">IRHT | Formation a la codicologie |1 semaine | 2022</w:t>
      </w:r>
    </w:p>
    <w:p>
      <w:pPr/>
      <w:r>
        <w:rPr>
          <w:b w:val="1"/>
          <w:bCs w:val="1"/>
        </w:rPr>
        <w:t xml:space="preserve">Expériences professionnelles :</w:t>
      </w:r>
    </w:p>
    <w:p>
      <w:pPr>
        <w:numPr>
          <w:ilvl w:val="0"/>
          <w:numId w:val="6"/>
        </w:numPr>
      </w:pPr>
      <w:r>
        <w:rPr/>
        <w:t xml:space="preserve">Bibliothèque de l’École nationale des chartes (2023-2024)</w:t>
      </w:r>
    </w:p>
    <w:p>
      <w:pPr>
        <w:numPr>
          <w:ilvl w:val="0"/>
          <w:numId w:val="6"/>
        </w:numPr>
      </w:pPr>
      <w:r>
        <w:rPr/>
        <w:t xml:space="preserve">Bibliothèque Georges Lefebvre (Université de Lille) (2022-2023)</w:t>
      </w:r>
    </w:p>
    <w:p>
      <w:pPr>
        <w:numPr>
          <w:ilvl w:val="0"/>
          <w:numId w:val="6"/>
        </w:numPr>
      </w:pPr>
      <w:r>
        <w:rPr/>
        <w:t xml:space="preserve">Tutorat pour un étudiant en exil (Université de Lille) (2021-2022)</w:t>
      </w:r>
    </w:p>
    <w:p>
      <w:pPr>
        <w:numPr>
          <w:ilvl w:val="0"/>
          <w:numId w:val="6"/>
        </w:numPr>
      </w:pPr>
      <w:r>
        <w:rPr/>
        <w:t xml:space="preserve">Pole DELANG (Université de Lille) (2020)</w:t>
      </w:r>
    </w:p>
    <w:p>
      <w:pPr/>
      <w:r>
        <w:rPr>
          <w:b w:val="1"/>
          <w:bCs w:val="1"/>
        </w:rPr>
        <w:t xml:space="preserve">Compétences numériques :</w:t>
      </w:r>
    </w:p>
    <w:p>
      <w:pPr>
        <w:numPr>
          <w:ilvl w:val="0"/>
          <w:numId w:val="7"/>
        </w:numPr>
      </w:pPr>
      <w:r>
        <w:rPr/>
        <w:t xml:space="preserve">Web : HTML | CSS | Flask | API IIIF</w:t>
      </w:r>
    </w:p>
    <w:p>
      <w:pPr>
        <w:numPr>
          <w:ilvl w:val="0"/>
          <w:numId w:val="7"/>
        </w:numPr>
      </w:pPr>
      <w:r>
        <w:rPr/>
        <w:t xml:space="preserve">Traitement de la donnée : XSLT | XQuery | Dataiku | Tableau | SPARQL | Plotly | RegeX</w:t>
      </w:r>
    </w:p>
    <w:p>
      <w:pPr>
        <w:numPr>
          <w:ilvl w:val="0"/>
          <w:numId w:val="7"/>
        </w:numPr>
      </w:pPr>
      <w:r>
        <w:rPr/>
        <w:t xml:space="preserve">Langage de structuration et de balisage : XML-TEI et XML-EAD | Markdown</w:t>
      </w:r>
    </w:p>
    <w:p>
      <w:pPr>
        <w:numPr>
          <w:ilvl w:val="0"/>
          <w:numId w:val="7"/>
        </w:numPr>
      </w:pPr>
      <w:r>
        <w:rPr/>
        <w:t xml:space="preserve">Bases de données : SQL | SQLite | BaseX | Exist-DB | Heurist</w:t>
      </w:r>
    </w:p>
    <w:p>
      <w:pPr>
        <w:numPr>
          <w:ilvl w:val="0"/>
          <w:numId w:val="7"/>
        </w:numPr>
      </w:pPr>
      <w:r>
        <w:rPr/>
        <w:t xml:space="preserve">Système : Windows | Linux</w:t>
      </w:r>
    </w:p>
    <w:p>
      <w:pPr>
        <w:numPr>
          <w:ilvl w:val="0"/>
          <w:numId w:val="7"/>
        </w:numPr>
      </w:pPr>
      <w:r>
        <w:rPr/>
        <w:t xml:space="preserve">Outils : VScode | Oxygen XML editor | LateX</w:t>
      </w:r>
    </w:p>
    <w:p>
      <w:pPr>
        <w:numPr>
          <w:ilvl w:val="0"/>
          <w:numId w:val="7"/>
        </w:numPr>
      </w:pPr>
      <w:r>
        <w:rPr/>
        <w:t xml:space="preserve">Langages de programmation : Python | R | JavaScript</w:t>
      </w:r>
    </w:p>
    <w:p>
      <w:pPr>
        <w:numPr>
          <w:ilvl w:val="0"/>
          <w:numId w:val="7"/>
        </w:numPr>
      </w:pPr>
      <w:r>
        <w:rPr/>
        <w:t xml:space="preserve">Conduite de projet numérique : GitHub</w:t>
      </w:r>
    </w:p>
    <w:p>
      <w:pPr/>
      <w:r>
        <w:rPr>
          <w:b w:val="1"/>
          <w:bCs w:val="1"/>
        </w:rPr>
        <w:t xml:space="preserve">Langues :</w:t>
      </w:r>
    </w:p>
    <w:p>
      <w:pPr>
        <w:numPr>
          <w:ilvl w:val="0"/>
          <w:numId w:val="8"/>
        </w:numPr>
      </w:pPr>
      <w:r>
        <w:rPr/>
        <w:t xml:space="preserve">Anglais (B2)</w:t>
      </w:r>
    </w:p>
    <w:p>
      <w:pPr>
        <w:numPr>
          <w:ilvl w:val="0"/>
          <w:numId w:val="8"/>
        </w:numPr>
      </w:pPr>
      <w:r>
        <w:rPr/>
        <w:t xml:space="preserve">Allemand (A2)</w:t>
      </w:r>
    </w:p>
    <w:p>
      <w:pPr>
        <w:numPr>
          <w:ilvl w:val="0"/>
          <w:numId w:val="8"/>
        </w:numPr>
      </w:pPr>
      <w:r>
        <w:rPr/>
        <w:t xml:space="preserve">Latin</w:t>
      </w:r>
    </w:p>
    <w:p>
      <w:pPr>
        <w:numPr>
          <w:ilvl w:val="0"/>
          <w:numId w:val="8"/>
        </w:numPr>
      </w:pPr>
      <w:r>
        <w:rPr/>
        <w:t xml:space="preserve">Moyen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Pendus et gibets dans les récits exemplaires médiévaux. Les exempla du Ci nous dit de Chantilly, un recueil enluminé destiné aux laïcs</w:t>
              </w:r>
            </w:hyperlink>
          </w:p>
          <w:p>
            <w:pPr/>
            <w:hyperlink r:id="rId10" w:history="1">
              <w:r>
                <w:rPr>
                  <w:color w:val="#410a8c"/>
                  <w:u w:val="single"/>
                </w:rPr>
                <w:t xml:space="preserve">Léo Trotin</w:t>
              </w:r>
            </w:hyperlink>
          </w:p>
          <w:p>
            <w:pPr/>
            <w:r>
              <w:rPr/>
              <w:t xml:space="preserve">Elliot Adam, Lionel Germain. </w:t>
            </w:r>
            <w:r>
              <w:rPr>
                <w:i w:val="1"/>
                <w:iCs w:val="1"/>
              </w:rPr>
              <w:t xml:space="preserve">Histoire, Archéologie, Histoire de l'art : Master 2022 : actes du VIIIe Colloque des étudiants de Master en Histoire, Archéologie et Histoire de l'Art de l'université de Lille et de l'université du Littoral-Côte d'Opale, Villeneuve d'Ascq 24-25 mai 2022</w:t>
            </w:r>
            <w:r>
              <w:rPr/>
              <w:t xml:space="preserve">, Presses Universitaires du Septentrion, pp.43 - 56, 2024, 978-2-7574-4173-2</w:t>
            </w:r>
          </w:p>
          <w:p>
            <w:pPr/>
            <w:r>
              <w:rPr/>
              <w:t xml:space="preserve">Chapitre d'ouvrage</w:t>
            </w:r>
          </w:p>
          <w:p>
            <w:pPr/>
            <w:hyperlink r:id="rId9" w:history="1">
              <w:r>
                <w:rPr>
                  <w:color w:val="#410a8c"/>
                  <w:u w:val="single"/>
                </w:rPr>
                <w:t xml:space="preserve">hal-04744616v1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6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63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46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C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5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C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0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6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o-trotin" TargetMode="External"/><Relationship Id="rId8" Type="http://schemas.openxmlformats.org/officeDocument/2006/relationships/hyperlink" Target="https://orcid.org/0009-0006-7626-344X" TargetMode="External"/><Relationship Id="rId9" Type="http://schemas.openxmlformats.org/officeDocument/2006/relationships/hyperlink" Target="https://hal.science/hal-04744616v1" TargetMode="External"/><Relationship Id="rId10" Type="http://schemas.openxmlformats.org/officeDocument/2006/relationships/hyperlink" Target="https://hal.science/search/index/?q=*&amp;authFullName_s=L&#233;o Trotin"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Trotin</dc:title>
  <dc:description>CV</dc:description>
  <dc:subject/>
  <cp:keywords/>
  <cp:category/>
  <cp:lastModifiedBy/>
  <dcterms:created xsi:type="dcterms:W3CDTF">2026-03-14T13:53:54+01:00</dcterms:created>
  <dcterms:modified xsi:type="dcterms:W3CDTF">2026-03-14T13:53:54+01:00</dcterms:modified>
</cp:coreProperties>
</file>

<file path=docProps/custom.xml><?xml version="1.0" encoding="utf-8"?>
<Properties xmlns="http://schemas.openxmlformats.org/officeDocument/2006/custom-properties" xmlns:vt="http://schemas.openxmlformats.org/officeDocument/2006/docPropsVTypes"/>
</file>