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Lena Monasse </w:t>
      </w:r>
      <w:r>
        <w:rPr>
          <w:color w:val="641e6e"/>
        </w:rPr>
        <w:t xml:space="preserve">Doctorante en économie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lmonasse13</w:t>
        </w:r>
      </w:hyperlink>
    </w:p>
    <w:p>
      <w:pPr>
        <w:numPr>
          <w:ilvl w:val="0"/>
          <w:numId w:val="1"/>
        </w:numPr>
      </w:pPr>
      <w:r>
        <w:rPr/>
        <w:t xml:space="preserve"> ORCID : </w:t>
      </w:r>
      <w:hyperlink r:id="rId8" w:history="1">
        <w:r>
          <w:rPr>
            <w:color w:val="#410a8c"/>
            <w:u w:val="single"/>
          </w:rPr>
          <w:t xml:space="preserve">0009-0002-4897-2979</w:t>
        </w:r>
      </w:hyperlink>
    </w:p>
    <w:p>
      <w:pPr>
        <w:spacing w:before="600"/>
      </w:pPr>
    </w:p>
    <w:p>
      <w:pPr>
        <w:pStyle w:val="Heading2"/>
      </w:pPr>
      <w:r>
        <w:rPr>
          <w:color w:val="1e198e"/>
          <w:b w:val="1"/>
          <w:bCs w:val="1"/>
        </w:rPr>
        <w:t xml:space="preserve">Présentation</w:t>
      </w:r>
    </w:p>
    <w:p>
      <w:pPr>
        <w:spacing w:after="100"/>
      </w:pPr>
    </w:p>
    <w:p>
      <w:pPr/>
      <w:r>
        <w:rPr/>
        <w:t xml:space="preserve">Je suis doctorante en économie, rattachée à l'Ecole Supérieure des Professions Immobilières (ESPI) et à l'Université Paris-Est Créteil. L'objectif de ma thèse est d’étudier dans quelle mesure le patrimoine immobilier représente un équivalent fonctionnel du système de retraites. Cette équivalence est le postulat de base des « politiques de bien-être fondées sur des actifs » (asset-based welfare, ABW en anglais). Dans ce contexte, la thèse vise à éclairer les choix d’épargne des ménages, afin de voir si le patrimoine immobilier peut être mobilisé pour la retraite et la prise en charge de la dépendance, si le patrimoine immobilier exacerbe les inégalités entre groupes sociaux et entre générations, c’est-à-dire si la logique d’ABW a contribué à rendre plus difficile l’accès à la propriété pour les générations les plus jeunes et à cristalliser l’opposition entre deux groupes, propriétaires et non-propriétaires, aux intérêts contraires.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D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monasse13" TargetMode="External"/><Relationship Id="rId8" Type="http://schemas.openxmlformats.org/officeDocument/2006/relationships/hyperlink" Target="https://orcid.org/0009-0002-4897-2979"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Lena Monasse</dc:title>
  <dc:description>CV</dc:description>
  <dc:subject/>
  <cp:keywords/>
  <cp:category/>
  <cp:lastModifiedBy/>
  <dcterms:created xsi:type="dcterms:W3CDTF">2026-03-13T06:41:57+01:00</dcterms:created>
  <dcterms:modified xsi:type="dcterms:W3CDTF">2026-03-13T06:41:57+01:00</dcterms:modified>
</cp:coreProperties>
</file>

<file path=docProps/custom.xml><?xml version="1.0" encoding="utf-8"?>
<Properties xmlns="http://schemas.openxmlformats.org/officeDocument/2006/custom-properties" xmlns:vt="http://schemas.openxmlformats.org/officeDocument/2006/docPropsVTypes"/>
</file>