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Lasnon </w:t>
      </w:r>
      <w:r>
        <w:rPr>
          <w:color w:val="641e6e"/>
        </w:rPr>
        <w:t xml:space="preserve">Doctorant en socio-anthropologie et aménagement de l'espaceLauréat de la chaire Arpenter (Vinci)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par les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Kroichvilli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Simoncini</w:t>
              </w:r>
            </w:hyperlink>
          </w:p>
          <w:p>
            <w:pPr/>
            <w:r>
              <w:rPr/>
              <w:t xml:space="preserve">Université de technologie de Belfort-Montbéliard, 299 p., 2025, Environnement et technologie, 979-10-91901-78-9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hal-05033567v1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567v1" TargetMode="External"/><Relationship Id="rId9" Type="http://schemas.openxmlformats.org/officeDocument/2006/relationships/hyperlink" Target="https://hal.science/search/index/?q=*&amp;authFullName_s=Nathalie Kroichvilli" TargetMode="External"/><Relationship Id="rId10" Type="http://schemas.openxmlformats.org/officeDocument/2006/relationships/hyperlink" Target="https://hal.science/search/index/?q=*&amp;authFullName_s=Nicolas Simoncin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Lasnon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