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Couroucli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FRANÇAIS</w:t>
      </w:r>
    </w:p>
    <w:p>
      <w:pPr/>
      <w:r>
        <w:rPr/>
        <w:t xml:space="preserve">Maria Couroucli, HDR, Directeur de recherche au CNRS, pratique une anthropologie historique et comparative dans le contexte du monde grec, balkanique et méditerranéen. Ses travaux ont porté sur les systèmes de parenté et d'organisation sociale; les représentations identitaires, le nationalisme et les représentations ethno-religieuses dans la Grèce contemporaine. Elle a co-dirigé avec D. Albera des recherches comparatives sur les modalités de partage des lieux sacrés en Méditerranée entre Chrétiens, Juifs et Musulmans dans le cadre du Réseau Européen REMSH puis RAMSES. Plus récemment, elle a dirigé des programmes de recherche sur les traditions intellectuelles en Grèce et dans les Balkans. Ses travaux en cours concernent la mémoire sociale et collective et les usages du passé en contexte de crise économique, sociale et politique.</w:t>
      </w:r>
    </w:p>
    <w:p>
      <w:pPr/>
      <w:r>
        <w:rPr>
          <w:i w:val="1"/>
          <w:iCs w:val="1"/>
        </w:rPr>
        <w:t xml:space="preserve">Domaines de recherche:</w:t>
      </w:r>
      <w:r>
        <w:rPr/>
        <w:t xml:space="preserve"> Anthropologie historique; ethnohistoire; pratiques religieuses; lieux saints partagés; mémoire; usages du passé; valeurs et pratiques de confiance en temps de crise.</w:t>
      </w:r>
    </w:p>
    <w:p>
      <w:pPr/>
      <w:r>
        <w:rPr>
          <w:i w:val="1"/>
          <w:iCs w:val="1"/>
        </w:rPr>
        <w:t xml:space="preserve">Mots-clés</w:t>
      </w:r>
      <w:r>
        <w:rPr/>
        <w:t xml:space="preserve">: religion, identité, nationalisme, mémoire, guerre; guerre civile, européanisme, crise.</w:t>
      </w:r>
    </w:p>
    <w:p>
      <w:pPr/>
      <w:r>
        <w:rPr>
          <w:i w:val="1"/>
          <w:iCs w:val="1"/>
        </w:rPr>
        <w:t xml:space="preserve">Domaines régionaux:</w:t>
      </w:r>
      <w:r>
        <w:rPr/>
        <w:t xml:space="preserve"> Europe, Grèce, Balkans, Méditerranée orientale.</w:t>
      </w:r>
    </w:p>
    <w:p>
      <w:pPr/>
      <w:r>
        <w:rPr>
          <w:i w:val="1"/>
          <w:iCs w:val="1"/>
        </w:rPr>
        <w:t xml:space="preserve">Mobilité:</w:t>
      </w:r>
    </w:p>
    <w:p>
      <w:pPr/>
      <w:r>
        <w:rPr/>
        <w:t xml:space="preserve">- Visiting Scholar au Département d’Anthropologie de Harvard University en 1998-1999</w:t>
      </w:r>
    </w:p>
    <w:p>
      <w:pPr/>
      <w:r>
        <w:rPr/>
        <w:t xml:space="preserve">-- Stanley Seeger Research Fellow à Princeton University en 2009.</w:t>
      </w:r>
    </w:p>
    <w:p>
      <w:pPr/>
      <w:r>
        <w:rPr>
          <w:i w:val="1"/>
          <w:iCs w:val="1"/>
        </w:rPr>
        <w:t xml:space="preserve">Responsabilités scientifiques:</w:t>
      </w:r>
    </w:p>
    <w:p>
      <w:pPr/>
      <w:r>
        <w:rPr/>
        <w:t xml:space="preserve">- Directeur adjoint de la Maison René Ginouvès Archéologie et Ethnologie (CNRS/Université Paris 1/Université Paris Ouest - 2000-2003)</w:t>
      </w:r>
    </w:p>
    <w:p>
      <w:pPr/>
      <w:r>
        <w:rPr/>
        <w:t xml:space="preserve">- Directeur des études pour les époques moderne et contemporaine à l’École française d’Athènes (2010-2015)</w:t>
      </w:r>
    </w:p>
    <w:p>
      <w:pPr/>
      <w:r>
        <w:rPr/>
        <w:t xml:space="preserve">- Membre du comité de rédaction de la revue </w:t>
      </w:r>
      <w:r>
        <w:rPr>
          <w:i w:val="1"/>
          <w:iCs w:val="1"/>
        </w:rPr>
        <w:t xml:space="preserve">Ethnologie française</w:t>
      </w:r>
      <w:r>
        <w:rPr/>
        <w:t xml:space="preserve">.</w:t>
      </w:r>
    </w:p>
    <w:p>
      <w:pPr/>
      <w:r>
        <w:rPr/>
        <w:t xml:space="preserve">- Membre du Comité exécutif de l’EASA (European Association of Social Anthropologists) pendant deux mandats (2008-2012)</w:t>
      </w:r>
    </w:p>
    <w:p>
      <w:pPr/>
      <w:r>
        <w:rPr/>
        <w:t xml:space="preserve">-----------</w:t>
      </w:r>
    </w:p>
    <w:p>
      <w:pPr/>
      <w:r>
        <w:rPr/>
        <w:t xml:space="preserve">ENGLISH</w:t>
      </w:r>
    </w:p>
    <w:p>
      <w:pPr/>
      <w:r>
        <w:rPr/>
        <w:t xml:space="preserve">Maria Couroucli (BA, MA Cantab, PhD, HDR Paris) is Directeur de Recherche at the CNRS. A historical anthropologist, she has worked on kinship and family, nationalism, identity, and religious practices in Modern Greece. She has directed several research projects, among them the RAMSES program on </w:t>
      </w:r>
      <w:r>
        <w:rPr>
          <w:i w:val="1"/>
          <w:iCs w:val="1"/>
        </w:rPr>
        <w:t xml:space="preserve">Sharing Sacred Spaces</w:t>
      </w:r>
      <w:r>
        <w:rPr/>
        <w:t xml:space="preserve"> among Christians, Jews and Muslims in the Mediterranean (2003-2009) and the </w:t>
      </w:r>
      <w:r>
        <w:rPr>
          <w:i w:val="1"/>
          <w:iCs w:val="1"/>
        </w:rPr>
        <w:t xml:space="preserve">Balkan Futures</w:t>
      </w:r>
      <w:r>
        <w:rPr/>
        <w:t xml:space="preserve"> program on heritage and intellectual traditions in Greece and the Balkans (British School at Athens/École française d'Athènes, 2011-2015). Her current research focuses on memory and uses of the past and on values and cultural practices in times on crisis.</w:t>
      </w:r>
    </w:p>
    <w:p>
      <w:pPr/>
      <w:r>
        <w:rPr>
          <w:i w:val="1"/>
          <w:iCs w:val="1"/>
        </w:rPr>
        <w:t xml:space="preserve">Research interests</w:t>
      </w:r>
    </w:p>
    <w:p>
      <w:pPr/>
      <w:r>
        <w:rPr/>
        <w:t xml:space="preserve">History and Anthropology</w:t>
      </w:r>
    </w:p>
    <w:p>
      <w:pPr/>
      <w:r>
        <w:rPr/>
        <w:t xml:space="preserve">Anthropology of Religion</w:t>
      </w:r>
    </w:p>
    <w:p>
      <w:pPr/>
      <w:r>
        <w:rPr/>
        <w:t xml:space="preserve">Anthropology of Memory, Heritage and Uses of the Past</w:t>
      </w:r>
    </w:p>
    <w:p>
      <w:pPr/>
      <w:r>
        <w:rPr/>
        <w:t xml:space="preserve">Anthropology of the Crisis in Europe</w:t>
      </w:r>
    </w:p>
    <w:p>
      <w:pPr/>
      <w:r>
        <w:rPr/>
        <w:t xml:space="preserve">Ethnography of Greece, Turkey, the Balkans, Eastern Mediterranean</w:t>
      </w:r>
    </w:p>
    <w:p>
      <w:pPr/>
      <w:r>
        <w:rPr>
          <w:i w:val="1"/>
          <w:iCs w:val="1"/>
        </w:rPr>
        <w:t xml:space="preserve">Mobility</w:t>
      </w:r>
    </w:p>
    <w:p>
      <w:pPr/>
      <w:r>
        <w:rPr/>
        <w:t xml:space="preserve">Visiting Scholar at the Department of Social Anthropology at Harvard University (1998-1999) and Stanley Seeger Research Fellow at Princeton University (2009).</w:t>
      </w:r>
    </w:p>
    <w:p>
      <w:pPr/>
      <w:r>
        <w:rPr>
          <w:i w:val="1"/>
          <w:iCs w:val="1"/>
        </w:rPr>
        <w:t xml:space="preserve">Other activities</w:t>
      </w:r>
    </w:p>
    <w:p>
      <w:pPr/>
      <w:r>
        <w:rPr/>
        <w:t xml:space="preserve">Assistant Director of the Maison René Ginouvès Archéologie et Ethnologie (CNRS/Université Paris 1/Université Paris Ouest - 2000-2003); Director for Modern Studies at the Ecole française d'Athènes (Greece, 2010-2015).</w:t>
      </w:r>
    </w:p>
    <w:p>
      <w:pPr/>
      <w:r>
        <w:rPr/>
        <w:t xml:space="preserve">Member of the Executive committee of the EASA (2008-2012); Member of the Editorial Board of </w:t>
      </w:r>
      <w:r>
        <w:rPr>
          <w:i w:val="1"/>
          <w:iCs w:val="1"/>
        </w:rPr>
        <w:t xml:space="preserve">Ethnologie Française</w:t>
      </w:r>
      <w:r>
        <w:rPr/>
        <w:t xml:space="preserve"> since 2000.</w:t>
      </w:r>
    </w:p>
    <w:p>
      <w:pP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l’absence aux absent-es, devenir une non-personne : cas croisés</w:t>
              </w:r>
            </w:hyperlink>
          </w:p>
          <w:p>
            <w:pPr/>
            <w:hyperlink r:id="rId8" w:history="1">
              <w:r>
                <w:rPr>
                  <w:color w:val="#410a8c"/>
                  <w:u w:val="single"/>
                </w:rPr>
                <w:t xml:space="preserve">Michèle Baussant</w:t>
              </w:r>
            </w:hyperlink>
            <w:r>
              <w:rPr/>
              <w:t xml:space="preserve">,</w:t>
            </w:r>
            <w:hyperlink r:id="rId9" w:history="1">
              <w:r>
                <w:rPr>
                  <w:color w:val="#410a8c"/>
                  <w:u w:val="single"/>
                </w:rPr>
                <w:t xml:space="preserve">Maria Couroucli</w:t>
              </w:r>
            </w:hyperlink>
          </w:p>
          <w:p>
            <w:pPr/>
            <w:r>
              <w:rPr>
                <w:i w:val="1"/>
                <w:iCs w:val="1"/>
              </w:rPr>
              <w:t xml:space="preserve">Communications [EHESS]</w:t>
            </w:r>
            <w:r>
              <w:rPr/>
              <w:t xml:space="preserve">, 2025, 117 (2), pp.5-16. </w:t>
            </w:r>
            <w:hyperlink r:id="rId10" w:history="1">
              <w:r>
                <w:rPr>
                  <w:color w:val="#410a8c"/>
                  <w:u w:val="single"/>
                </w:rPr>
                <w:t xml:space="preserve">⟨10.3917/commu.117.0005⟩</w:t>
              </w:r>
            </w:hyperlink>
          </w:p>
          <w:p>
            <w:pPr/>
            <w:r>
              <w:rPr/>
              <w:t xml:space="preserve">Article dans une revue</w:t>
            </w:r>
          </w:p>
          <w:p>
            <w:pPr/>
            <w:hyperlink r:id="rId7" w:history="1">
              <w:r>
                <w:rPr>
                  <w:color w:val="#410a8c"/>
                  <w:u w:val="single"/>
                </w:rPr>
                <w:t xml:space="preserve">halshs-05523549v1</w:t>
              </w:r>
            </w:hyperlink>
          </w:p>
        </w:tc>
      </w:tr>
      <w:tr>
        <w:trPr/>
        <w:tc>
          <w:tcPr>
            <w:noWrap/>
          </w:tcPr>
          <w:p>
            <w:pPr>
              <w:spacing w:after="200"/>
            </w:pPr>
            <w:hyperlink r:id="rId11" w:history="1">
              <w:r>
                <w:rPr>
                  <w:color w:val="1e198e"/>
                  <w:b w:val="1"/>
                  <w:bCs w:val="1"/>
                  <w:u w:val="single"/>
                </w:rPr>
                <w:t xml:space="preserve">Éditorial. Faire savoir</w:t>
              </w:r>
            </w:hyperlink>
          </w:p>
          <w:p>
            <w:pPr/>
            <w:hyperlink r:id="rId8" w:history="1">
              <w:r>
                <w:rPr>
                  <w:color w:val="#410a8c"/>
                  <w:u w:val="single"/>
                </w:rPr>
                <w:t xml:space="preserve">Michèle Baussant</w:t>
              </w:r>
            </w:hyperlink>
            <w:r>
              <w:rPr/>
              <w:t xml:space="preserve">,</w:t>
            </w:r>
            <w:hyperlink r:id="rId9" w:history="1">
              <w:r>
                <w:rPr>
                  <w:color w:val="#410a8c"/>
                  <w:u w:val="single"/>
                </w:rPr>
                <w:t xml:space="preserve">Maria Couroucli</w:t>
              </w:r>
            </w:hyperlink>
            <w:r>
              <w:rPr/>
              <w:t xml:space="preserve">,</w:t>
            </w:r>
            <w:hyperlink r:id="rId12" w:history="1">
              <w:r>
                <w:rPr>
                  <w:color w:val="#410a8c"/>
                  <w:u w:val="single"/>
                </w:rPr>
                <w:t xml:space="preserve">Stefan Le Courant</w:t>
              </w:r>
            </w:hyperlink>
            <w:r>
              <w:rPr/>
              <w:t xml:space="preserve">,</w:t>
            </w:r>
            <w:hyperlink r:id="rId13" w:history="1">
              <w:r>
                <w:rPr>
                  <w:color w:val="#410a8c"/>
                  <w:u w:val="single"/>
                </w:rPr>
                <w:t xml:space="preserve">Nathalie Luca</w:t>
              </w:r>
            </w:hyperlink>
          </w:p>
          <w:p>
            <w:pPr/>
            <w:r>
              <w:rPr>
                <w:i w:val="1"/>
                <w:iCs w:val="1"/>
              </w:rPr>
              <w:t xml:space="preserve">Ethnologie française</w:t>
            </w:r>
            <w:r>
              <w:rPr/>
              <w:t xml:space="preserve">, 2022, 52 (3)</w:t>
            </w:r>
          </w:p>
          <w:p>
            <w:pPr/>
            <w:r>
              <w:rPr/>
              <w:t xml:space="preserve">Article dans une revue</w:t>
            </w:r>
          </w:p>
          <w:p>
            <w:pPr/>
            <w:hyperlink r:id="rId11" w:history="1">
              <w:r>
                <w:rPr>
                  <w:color w:val="#410a8c"/>
                  <w:u w:val="single"/>
                </w:rPr>
                <w:t xml:space="preserve">halshs-04225500v1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Religions traversées. Lieux saints partagés entre chrétiens, musulmans et juifs en Méditerranée</w:t>
              </w:r>
            </w:hyperlink>
          </w:p>
          <w:p>
            <w:pPr/>
            <w:hyperlink r:id="rId15" w:history="1">
              <w:r>
                <w:rPr>
                  <w:color w:val="#410a8c"/>
                  <w:u w:val="single"/>
                </w:rPr>
                <w:t xml:space="preserve">Dionigi Albera</w:t>
              </w:r>
            </w:hyperlink>
            <w:r>
              <w:rPr/>
              <w:t xml:space="preserve">,</w:t>
            </w:r>
            <w:hyperlink r:id="rId9" w:history="1">
              <w:r>
                <w:rPr>
                  <w:color w:val="#410a8c"/>
                  <w:u w:val="single"/>
                </w:rPr>
                <w:t xml:space="preserve">Maria Couroucli</w:t>
              </w:r>
            </w:hyperlink>
          </w:p>
          <w:p>
            <w:pPr/>
            <w:r>
              <w:rPr/>
              <w:t xml:space="preserve">MMSH. Actes Sud, 2009, 978-2-7427-8268-0</w:t>
            </w:r>
          </w:p>
          <w:p>
            <w:pPr/>
            <w:r>
              <w:rPr/>
              <w:t xml:space="preserve">Ouvrages</w:t>
            </w:r>
          </w:p>
          <w:p>
            <w:pPr/>
            <w:hyperlink r:id="rId14" w:history="1">
              <w:r>
                <w:rPr>
                  <w:color w:val="#410a8c"/>
                  <w:u w:val="single"/>
                </w:rPr>
                <w:t xml:space="preserve">hal-01520870v1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2020 &amp;quot;Χιτίρελεζ λέγαν οι Τούρκοι, Αϊ-Γιώργη λέγαμε εμείς! «Ανοιχτοί» ιεροί τόποι και βίοι παράλληλοι στην Ανατολία και στην Κωνσταντινούπολη&amp;quot;.</w:t>
              </w:r>
            </w:hyperlink>
          </w:p>
          <w:p>
            <w:pPr/>
            <w:hyperlink r:id="rId9" w:history="1">
              <w:r>
                <w:rPr>
                  <w:color w:val="#410a8c"/>
                  <w:u w:val="single"/>
                </w:rPr>
                <w:t xml:space="preserve">Maria Couroucli</w:t>
              </w:r>
            </w:hyperlink>
          </w:p>
          <w:p>
            <w:pPr/>
            <w:r>
              <w:rPr/>
              <w:t xml:space="preserve">Tsibiridou, Fotini. </w:t>
            </w:r>
            <w:r>
              <w:rPr>
                <w:i w:val="1"/>
                <w:iCs w:val="1"/>
              </w:rPr>
              <w:t xml:space="preserve">Εθνογραφία και καθημερινότητα στην «καθ’ ημάς Ανατολή»</w:t>
            </w:r>
            <w:r>
              <w:rPr/>
              <w:t xml:space="preserve">, Kritiki Editions, 2020, Ethnology - anthropology, 9789605863173</w:t>
            </w:r>
          </w:p>
          <w:p>
            <w:pPr/>
            <w:r>
              <w:rPr/>
              <w:t xml:space="preserve">Chapitre d'ouvrage</w:t>
            </w:r>
          </w:p>
          <w:p>
            <w:pPr/>
            <w:hyperlink r:id="rId16" w:history="1">
              <w:r>
                <w:rPr>
                  <w:color w:val="#410a8c"/>
                  <w:u w:val="single"/>
                </w:rPr>
                <w:t xml:space="preserve">hal-03939196v1</w:t>
              </w:r>
            </w:hyperlink>
          </w:p>
        </w:tc>
      </w:tr>
      <w:tr>
        <w:trPr/>
        <w:tc>
          <w:tcPr>
            <w:noWrap/>
          </w:tcPr>
          <w:p>
            <w:pPr>
              <w:spacing w:after="200"/>
            </w:pPr>
            <w:hyperlink r:id="rId17" w:history="1">
              <w:r>
                <w:rPr>
                  <w:color w:val="1e198e"/>
                  <w:b w:val="1"/>
                  <w:bCs w:val="1"/>
                  <w:u w:val="single"/>
                </w:rPr>
                <w:t xml:space="preserve">Παρίσι-Αθήνα: Aller simple. Μιά διεπιστημονική άποψη. Β. Καραμανωλάκης, M. Couroucli, Τ. Σκλαβενίτης (επιμ.), Συναντήσεις της ελληνικής με τη γαλλική ιστοριογραφία απο τη Μεταπολίτευση ως σήμερα. Αθήνα, Ecole française d'Athènes, Εθνικό Ιδρυμα Ερευνών, Εταιρεία Μνήμων. 2015</w:t>
              </w:r>
            </w:hyperlink>
          </w:p>
          <w:p>
            <w:pPr/>
            <w:hyperlink r:id="rId9" w:history="1">
              <w:r>
                <w:rPr>
                  <w:color w:val="#410a8c"/>
                  <w:u w:val="single"/>
                </w:rPr>
                <w:t xml:space="preserve">Maria Couroucli</w:t>
              </w:r>
            </w:hyperlink>
          </w:p>
          <w:p>
            <w:pPr/>
            <w:r>
              <w:rPr/>
              <w:t xml:space="preserve">Couroucli, M.; Karamanolakis, V; Sklavenitis, T. </w:t>
            </w:r>
            <w:r>
              <w:rPr>
                <w:i w:val="1"/>
                <w:iCs w:val="1"/>
              </w:rPr>
              <w:t xml:space="preserve">SYNANTISEIS TIS ELLINIKIS ME TI GALLIC ISTORIOGRAFIA APO TI METAPOLITEYSI OS SIMEMA (Greek and French Historiographies in perpective, 1974-2014)</w:t>
            </w:r>
            <w:r>
              <w:rPr/>
              <w:t xml:space="preserve">, Co-édition: Ecole française d'Athènes, Fondation Nationale de la Recherche Scientifique (Athènes), pp.245-258, 2015, SYNANTISEIS TIS ELLINIKIS ME TI GALLIC ISTORIOGRAFIA APO TI METAPOLITEYSI OS SIMEMA (Greek and French Historiographies in perpective, 1974-2014), 978-618-82106-0-8</w:t>
            </w:r>
          </w:p>
          <w:p>
            <w:pPr/>
            <w:r>
              <w:rPr/>
              <w:t xml:space="preserve">Chapitre d'ouvrage</w:t>
            </w:r>
          </w:p>
          <w:p>
            <w:pPr/>
            <w:hyperlink r:id="rId17" w:history="1">
              <w:r>
                <w:rPr>
                  <w:color w:val="#410a8c"/>
                  <w:u w:val="single"/>
                </w:rPr>
                <w:t xml:space="preserve">halshs-01238532v1</w:t>
              </w:r>
            </w:hyperlink>
          </w:p>
        </w:tc>
      </w:tr>
      <w:tr>
        <w:trPr/>
        <w:tc>
          <w:tcPr>
            <w:noWrap/>
          </w:tcPr>
          <w:p>
            <w:pPr>
              <w:spacing w:after="200"/>
            </w:pPr>
            <w:hyperlink r:id="rId18" w:history="1">
              <w:r>
                <w:rPr>
                  <w:color w:val="1e198e"/>
                  <w:b w:val="1"/>
                  <w:bCs w:val="1"/>
                  <w:u w:val="single"/>
                </w:rPr>
                <w:t xml:space="preserve">Saint George the Anatolian, Master of frontiers</w:t>
              </w:r>
            </w:hyperlink>
          </w:p>
          <w:p>
            <w:pPr/>
            <w:hyperlink r:id="rId9" w:history="1">
              <w:r>
                <w:rPr>
                  <w:color w:val="#410a8c"/>
                  <w:u w:val="single"/>
                </w:rPr>
                <w:t xml:space="preserve">Maria Couroucli</w:t>
              </w:r>
            </w:hyperlink>
          </w:p>
          <w:p>
            <w:pPr/>
            <w:r>
              <w:rPr>
                <w:i w:val="1"/>
                <w:iCs w:val="1"/>
              </w:rPr>
              <w:t xml:space="preserve">Sharing sacred spaces in the Mediterranean. Christians, Muslims, and Jews at Shrines and Sanctuaries.</w:t>
            </w:r>
            <w:r>
              <w:rPr/>
              <w:t xml:space="preserve">, , pp.118-130, 2012, 978-0-253-22317-3</w:t>
            </w:r>
          </w:p>
          <w:p>
            <w:pPr/>
            <w:r>
              <w:rPr/>
              <w:t xml:space="preserve">Chapitre d'ouvrage</w:t>
            </w:r>
          </w:p>
          <w:p>
            <w:pPr/>
            <w:hyperlink r:id="rId18" w:history="1">
              <w:r>
                <w:rPr>
                  <w:color w:val="#410a8c"/>
                  <w:u w:val="single"/>
                </w:rPr>
                <w:t xml:space="preserve">halshs-01218190v1</w:t>
              </w:r>
            </w:hyperlink>
          </w:p>
        </w:tc>
      </w:tr>
      <w:tr>
        <w:trPr/>
        <w:tc>
          <w:tcPr>
            <w:noWrap/>
          </w:tcPr>
          <w:p>
            <w:pPr>
              <w:spacing w:after="200"/>
            </w:pPr>
            <w:hyperlink r:id="rId19" w:history="1">
              <w:r>
                <w:rPr>
                  <w:color w:val="1e198e"/>
                  <w:b w:val="1"/>
                  <w:bCs w:val="1"/>
                  <w:u w:val="single"/>
                </w:rPr>
                <w:t xml:space="preserve">Saint Georges l'Anatolien, maître des frontières&amp;quot;,</w:t>
              </w:r>
            </w:hyperlink>
          </w:p>
          <w:p>
            <w:pPr/>
            <w:hyperlink r:id="rId9" w:history="1">
              <w:r>
                <w:rPr>
                  <w:color w:val="#410a8c"/>
                  <w:u w:val="single"/>
                </w:rPr>
                <w:t xml:space="preserve">Maria Couroucli</w:t>
              </w:r>
            </w:hyperlink>
          </w:p>
          <w:p>
            <w:pPr/>
            <w:r>
              <w:rPr>
                <w:i w:val="1"/>
                <w:iCs w:val="1"/>
              </w:rPr>
              <w:t xml:space="preserve">D. Albera et M. Couroucli (dir) 2009. Religions Traversées, Lieux saints partagés entre Chrétiens, Musulmans et Juifs en Méditerranée. Actes Sud</w:t>
            </w:r>
            <w:r>
              <w:rPr/>
              <w:t xml:space="preserve">, pp.175-208, 2009</w:t>
            </w:r>
          </w:p>
          <w:p>
            <w:pPr/>
            <w:r>
              <w:rPr/>
              <w:t xml:space="preserve">Chapitre d'ouvrage</w:t>
            </w:r>
          </w:p>
          <w:p>
            <w:pPr/>
            <w:hyperlink r:id="rId19" w:history="1">
              <w:r>
                <w:rPr>
                  <w:color w:val="#410a8c"/>
                  <w:u w:val="single"/>
                </w:rPr>
                <w:t xml:space="preserve">halshs-02190005v1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L’EUROPÉANISME MIS EN QUESTION : RÉCITS ETHNO-ORIENTALISTES DE LA CRISE GRECQUE</w:t>
              </w:r>
            </w:hyperlink>
          </w:p>
          <w:p>
            <w:pPr/>
            <w:hyperlink r:id="rId9" w:history="1">
              <w:r>
                <w:rPr>
                  <w:color w:val="#410a8c"/>
                  <w:u w:val="single"/>
                </w:rPr>
                <w:t xml:space="preserve">Maria Couroucli</w:t>
              </w:r>
            </w:hyperlink>
          </w:p>
          <w:p>
            <w:pPr/>
            <w:r>
              <w:rPr/>
              <w:t xml:space="preserve">2012</w:t>
            </w:r>
          </w:p>
          <w:p>
            <w:pPr/>
            <w:r>
              <w:rPr/>
              <w:t xml:space="preserve">Autre publication scientifique</w:t>
            </w:r>
          </w:p>
          <w:p>
            <w:pPr/>
            <w:hyperlink r:id="rId20" w:history="1">
              <w:r>
                <w:rPr>
                  <w:color w:val="#410a8c"/>
                  <w:u w:val="single"/>
                </w:rPr>
                <w:t xml:space="preserve">halshs-01218158v1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23549v1" TargetMode="External"/><Relationship Id="rId8" Type="http://schemas.openxmlformats.org/officeDocument/2006/relationships/hyperlink" Target="https://hal.science/search/index/?q=*&amp;authFullName_s=Mich&#232;le Baussant" TargetMode="External"/><Relationship Id="rId9" Type="http://schemas.openxmlformats.org/officeDocument/2006/relationships/hyperlink" Target="https://hal.science/search/index/?q=*&amp;authFullName_s=Maria Couroucli" TargetMode="External"/><Relationship Id="rId10" Type="http://schemas.openxmlformats.org/officeDocument/2006/relationships/hyperlink" Target="https://dx.doi.org/10.3917/commu.117.0005" TargetMode="External"/><Relationship Id="rId11" Type="http://schemas.openxmlformats.org/officeDocument/2006/relationships/hyperlink" Target="https://shs.hal.science/halshs-04225500v1" TargetMode="External"/><Relationship Id="rId12" Type="http://schemas.openxmlformats.org/officeDocument/2006/relationships/hyperlink" Target="https://hal.science/search/index/?q=*&amp;authFullName_s=Stefan Le Courant" TargetMode="External"/><Relationship Id="rId13" Type="http://schemas.openxmlformats.org/officeDocument/2006/relationships/hyperlink" Target="https://hal.science/search/index/?q=*&amp;authFullName_s=Nathalie Luca" TargetMode="External"/><Relationship Id="rId14" Type="http://schemas.openxmlformats.org/officeDocument/2006/relationships/hyperlink" Target="https://amu.hal.science/hal-01520870v1" TargetMode="External"/><Relationship Id="rId15" Type="http://schemas.openxmlformats.org/officeDocument/2006/relationships/hyperlink" Target="https://hal.science/search/index/?q=*&amp;authFullName_s=Dionigi Albera" TargetMode="External"/><Relationship Id="rId16" Type="http://schemas.openxmlformats.org/officeDocument/2006/relationships/hyperlink" Target="https://hal.science/hal-03939196v1" TargetMode="External"/><Relationship Id="rId17" Type="http://schemas.openxmlformats.org/officeDocument/2006/relationships/hyperlink" Target="https://shs.hal.science/halshs-01238532v1" TargetMode="External"/><Relationship Id="rId18" Type="http://schemas.openxmlformats.org/officeDocument/2006/relationships/hyperlink" Target="https://shs.hal.science/halshs-01218190v1" TargetMode="External"/><Relationship Id="rId19" Type="http://schemas.openxmlformats.org/officeDocument/2006/relationships/hyperlink" Target="https://shs.hal.science/halshs-02190005v1" TargetMode="External"/><Relationship Id="rId20" Type="http://schemas.openxmlformats.org/officeDocument/2006/relationships/hyperlink" Target="https://shs.hal.science/halshs-01218158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Couroucli</dc:title>
  <dc:description>CV</dc:description>
  <dc:subject/>
  <cp:keywords/>
  <cp:category/>
  <cp:lastModifiedBy/>
  <dcterms:created xsi:type="dcterms:W3CDTF">2026-03-12T10:47:24+01:00</dcterms:created>
  <dcterms:modified xsi:type="dcterms:W3CDTF">2026-03-12T10:47:24+01:00</dcterms:modified>
</cp:coreProperties>
</file>

<file path=docProps/custom.xml><?xml version="1.0" encoding="utf-8"?>
<Properties xmlns="http://schemas.openxmlformats.org/officeDocument/2006/custom-properties" xmlns:vt="http://schemas.openxmlformats.org/officeDocument/2006/docPropsVTypes"/>
</file>