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marie-catherine concé chemtob </w:t>
      </w:r>
      <w:r>
        <w:rPr>
          <w:color w:val="641e6e"/>
        </w:rPr>
        <w:t xml:space="preserve">Depuis 2001 Maître de conférences des Universités- HDRUFR Santé de l'Université Rouen NormandieDirecteur du Laboratoire de Droit pharmaceutiqueCUREJ EA 4703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MCU – HDR –DROIT PHARMACEUTIQUE</w:t>
      </w:r>
    </w:p>
    <w:p>
      <w:pPr/>
      <w:r>
        <w:rPr/>
        <w:t xml:space="preserve">FORMATION2004		Habilitation à diriger des recherches- Université Panthéon-Assas-Paris II2001		Certificat d’aptitude à la profession d’avocat (CAPA), Ecole de Formation du Barreau de Paris2000	Doctorat de Droit de l’Université Panthéon-Assas-Paris II, Thèse sur « L’encadrement juridique des manipulations génétiques appliquées à l’Homme : Perspectives européennes et internationales ».</w:t>
      </w:r>
    </w:p>
    <w:p>
      <w:pPr/>
      <w:r>
        <w:rPr/>
        <w:t xml:space="preserve">ACTIVITES D’ENSEIGNEMENT1999-2001	Assistant d’Enseignement et de Recherche Université Paris II Panthéon - AssasDepuis 2001	Maître de Conférences à l’UFR Santé de l’Université de Rouen NormandieSection CNU : 86èmeDirecteur du laboratoire de Droit PharmaceutiqueChargée des cours magistraux (229h eq ED) en FCB et les filières officine, industrie et internat, en DEUST préparateur en pharmacie, Département orthophonie, IFSI et licence santé (229h eq ED en 2024).</w:t>
      </w:r>
    </w:p>
    <w:p>
      <w:pPr>
        <w:numPr>
          <w:ilvl w:val="0"/>
          <w:numId w:val="1"/>
        </w:numPr>
      </w:pPr>
      <w:r>
        <w:rPr/>
        <w:t xml:space="preserve">Droit pharmaceutique</w:t>
      </w:r>
    </w:p>
    <w:p>
      <w:pPr>
        <w:numPr>
          <w:ilvl w:val="0"/>
          <w:numId w:val="1"/>
        </w:numPr>
      </w:pPr>
      <w:r>
        <w:rPr/>
        <w:t xml:space="preserve">Sécurité sociale</w:t>
      </w:r>
    </w:p>
    <w:p>
      <w:pPr>
        <w:numPr>
          <w:ilvl w:val="0"/>
          <w:numId w:val="1"/>
        </w:numPr>
      </w:pPr>
      <w:r>
        <w:rPr/>
        <w:t xml:space="preserve">Bases réglementaires de l’exercice officinal</w:t>
      </w:r>
    </w:p>
    <w:p>
      <w:pPr>
        <w:numPr>
          <w:ilvl w:val="0"/>
          <w:numId w:val="1"/>
        </w:numPr>
      </w:pPr>
      <w:r>
        <w:rPr/>
        <w:t xml:space="preserve">Brevets pharmaceutiques</w:t>
      </w:r>
    </w:p>
    <w:p>
      <w:pPr>
        <w:numPr>
          <w:ilvl w:val="0"/>
          <w:numId w:val="1"/>
        </w:numPr>
      </w:pPr>
      <w:r>
        <w:rPr/>
        <w:t xml:space="preserve">Recherche clinique</w:t>
      </w:r>
    </w:p>
    <w:p>
      <w:pPr>
        <w:numPr>
          <w:ilvl w:val="0"/>
          <w:numId w:val="1"/>
        </w:numPr>
      </w:pPr>
      <w:r>
        <w:rPr/>
        <w:t xml:space="preserve">Bioéthique</w:t>
      </w:r>
    </w:p>
    <w:p>
      <w:pPr>
        <w:numPr>
          <w:ilvl w:val="0"/>
          <w:numId w:val="1"/>
        </w:numPr>
      </w:pPr>
      <w:r>
        <w:rPr/>
        <w:t xml:space="preserve">Droit du travail, Droit des sociétés2017 MCU Hors Classe2023-2026 Prime RipecDepuis 2017	Création et Direction du DU de management de l’officine</w:t>
      </w:r>
    </w:p>
    <w:p>
      <w:pPr/>
      <w:r>
        <w:rPr/>
        <w:t xml:space="preserve">ACTIVITES COLLECTIVES2020-2024	 Membre élue de la CFVU2020-2024 	Membre de la Commission des statuts de l’Université2020-2024 	Membre du Service de santé étudiante de l'Université2020 		Responsable prévention des conflits d’intérêt pour l’UFR Santé2020 		Responsable du Service sanitaire pour les étudiants en pharmacie2020-2021 	Responsable de la Protection des données de l'UFR Santé2019- 		Participation aux journées recherche Declics et présentation études dans les lycées2008-2012	 Membre du Comité de protection des personnes Nord-Ouest I2010 -2017	Responsable Formations continues en recherche clinique pour le personnel du CIC- CRB du CHU de Rouen2007-2009 	Responsable des Relations internationales2006-2008 	Membre de la Commission scientifique de l’UFR2004-		Responsable de l’organisation de la remise du Prix Interfimo2001 – 	Membre de la Commission de spécialistes et de la CCSE 86eme section de l’UFR Santé</w:t>
      </w:r>
    </w:p>
    <w:p>
      <w:pPr/>
      <w:r>
        <w:rPr/>
        <w:t xml:space="preserve">ACTIVITES DE RECHERCHE</w:t>
      </w:r>
    </w:p>
    <w:p>
      <w:pPr>
        <w:numPr>
          <w:ilvl w:val="0"/>
          <w:numId w:val="2"/>
        </w:numPr>
      </w:pPr>
      <w:r>
        <w:rPr/>
        <w:t xml:space="preserve">Responsable du Laboratoire de Droit Pharmaceutique : recherche et activité d’encadrement</w:t>
      </w:r>
    </w:p>
    <w:p>
      <w:pPr>
        <w:numPr>
          <w:ilvl w:val="0"/>
          <w:numId w:val="2"/>
        </w:numPr>
      </w:pPr>
      <w:r>
        <w:rPr/>
        <w:t xml:space="preserve">Rattachement recherche :</w:t>
      </w:r>
    </w:p>
    <w:p>
      <w:pPr>
        <w:numPr>
          <w:ilvl w:val="0"/>
          <w:numId w:val="2"/>
        </w:numPr>
      </w:pPr>
      <w:r>
        <w:rPr/>
        <w:t xml:space="preserve">2022- CUREJ EA4703</w:t>
      </w:r>
    </w:p>
    <w:p>
      <w:pPr>
        <w:numPr>
          <w:ilvl w:val="0"/>
          <w:numId w:val="2"/>
        </w:numPr>
      </w:pPr>
      <w:r>
        <w:rPr/>
        <w:t xml:space="preserve">2010-2021 Centre d’Investigation Clinique du CHU de Rouen, (CIC CRB 1404 Inserm)</w:t>
      </w:r>
    </w:p>
    <w:p>
      <w:pPr>
        <w:numPr>
          <w:ilvl w:val="0"/>
          <w:numId w:val="2"/>
        </w:numPr>
      </w:pPr>
      <w:r>
        <w:rPr/>
        <w:t xml:space="preserve">Membre de l’Association Française de Droit de la Santé (AFDS), du Licensing executive society (groupe IP Biotechnolgy)</w:t>
      </w:r>
    </w:p>
    <w:p>
      <w:pPr/>
      <w:r>
        <w:rPr/>
        <w:t xml:space="preserve">Publications :76</w:t>
      </w:r>
    </w:p>
    <w:p>
      <w:pPr>
        <w:numPr>
          <w:ilvl w:val="0"/>
          <w:numId w:val="3"/>
        </w:numPr>
      </w:pPr>
      <w:r>
        <w:rPr/>
        <w:t xml:space="preserve">6 Ouvrages</w:t>
      </w:r>
    </w:p>
    <w:p>
      <w:pPr>
        <w:numPr>
          <w:ilvl w:val="0"/>
          <w:numId w:val="3"/>
        </w:numPr>
      </w:pPr>
      <w:r>
        <w:rPr/>
        <w:t xml:space="preserve">54 articles dans des revues nationales à comité de lecture (auteur unique)</w:t>
      </w:r>
    </w:p>
    <w:p>
      <w:pPr>
        <w:numPr>
          <w:ilvl w:val="0"/>
          <w:numId w:val="3"/>
        </w:numPr>
      </w:pPr>
      <w:r>
        <w:rPr/>
        <w:t xml:space="preserve">7 articles collectifs dans des revues nationales à comité de lecture (position 1er auteur)</w:t>
      </w:r>
    </w:p>
    <w:p>
      <w:pPr>
        <w:numPr>
          <w:ilvl w:val="0"/>
          <w:numId w:val="3"/>
        </w:numPr>
      </w:pPr>
      <w:r>
        <w:rPr/>
        <w:t xml:space="preserve">5 articles collectifs dans des revues nationales à comité de lecture (position 2eme auteur)</w:t>
      </w:r>
    </w:p>
    <w:p>
      <w:pPr>
        <w:numPr>
          <w:ilvl w:val="0"/>
          <w:numId w:val="3"/>
        </w:numPr>
      </w:pPr>
      <w:r>
        <w:rPr/>
        <w:t xml:space="preserve">6 revues et chapitres d'ouvrage</w:t>
      </w:r>
    </w:p>
    <w:p>
      <w:pPr/>
      <w:r>
        <w:rPr/>
        <w:t xml:space="preserve">Encadrement doctoral (depuis 2020)</w:t>
      </w:r>
    </w:p>
    <w:p>
      <w:pPr>
        <w:numPr>
          <w:ilvl w:val="0"/>
          <w:numId w:val="4"/>
        </w:numPr>
      </w:pPr>
      <w:r>
        <w:rPr/>
        <w:t xml:space="preserve">Thèse de 3eme cycle	: 1 thèse soutenue, 2 encadrements en cours</w:t>
      </w:r>
    </w:p>
    <w:p>
      <w:pPr>
        <w:numPr>
          <w:ilvl w:val="0"/>
          <w:numId w:val="4"/>
        </w:numPr>
      </w:pPr>
      <w:r>
        <w:rPr/>
        <w:t xml:space="preserve">Encadrement de thèse d’étudiants en vue de l’obtention de diplôme d’état de docteur en pharmacie : 31 thèses soutenues</w:t>
      </w:r>
    </w:p>
    <w:p>
      <w:pPr/>
      <w:r>
        <w:rPr/>
        <w:t xml:space="preserve">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enjeux de la substitution des biosimilaires comparée à celle des génériques et des hybrides</w:t>
              </w:r>
            </w:hyperlink>
          </w:p>
          <w:p>
            <w:pPr/>
            <w:hyperlink r:id="rId8" w:history="1">
              <w:r>
                <w:rPr>
                  <w:color w:val="#410a8c"/>
                  <w:u w:val="single"/>
                </w:rPr>
                <w:t xml:space="preserve">Marie-Catherine Concé Chemtob</w:t>
              </w:r>
            </w:hyperlink>
          </w:p>
          <w:p>
            <w:pPr/>
            <w:r>
              <w:rPr>
                <w:i w:val="1"/>
                <w:iCs w:val="1"/>
              </w:rPr>
              <w:t xml:space="preserve">Médecine &amp; Droit</w:t>
            </w:r>
            <w:r>
              <w:rPr/>
              <w:t xml:space="preserve">, 2024, 187, p 67-72</w:t>
            </w:r>
          </w:p>
          <w:p>
            <w:pPr/>
            <w:r>
              <w:rPr/>
              <w:t xml:space="preserve">Article dans une revue</w:t>
            </w:r>
          </w:p>
          <w:p>
            <w:pPr/>
            <w:hyperlink r:id="rId7" w:history="1">
              <w:r>
                <w:rPr>
                  <w:color w:val="#410a8c"/>
                  <w:u w:val="single"/>
                </w:rPr>
                <w:t xml:space="preserve">hal-04908106v1</w:t>
              </w:r>
            </w:hyperlink>
          </w:p>
        </w:tc>
      </w:tr>
      <w:tr>
        <w:trPr/>
        <w:tc>
          <w:tcPr>
            <w:noWrap/>
          </w:tcPr>
          <w:p>
            <w:pPr>
              <w:spacing w:after="200"/>
            </w:pPr>
            <w:hyperlink r:id="rId9" w:history="1">
              <w:r>
                <w:rPr>
                  <w:color w:val="1e198e"/>
                  <w:b w:val="1"/>
                  <w:bCs w:val="1"/>
                  <w:u w:val="single"/>
                </w:rPr>
                <w:t xml:space="preserve">Le trafic de faux médicaments : Etat des lieux et moyens d'action</w:t>
              </w:r>
            </w:hyperlink>
          </w:p>
          <w:p>
            <w:pPr/>
            <w:hyperlink r:id="rId10" w:history="1">
              <w:r>
                <w:rPr>
                  <w:color w:val="#410a8c"/>
                  <w:u w:val="single"/>
                </w:rPr>
                <w:t xml:space="preserve">Quentin Duteil</w:t>
              </w:r>
            </w:hyperlink>
            <w:r>
              <w:rPr/>
              <w:t xml:space="preserve">,</w:t>
            </w:r>
            <w:hyperlink r:id="rId8" w:history="1">
              <w:r>
                <w:rPr>
                  <w:color w:val="#410a8c"/>
                  <w:u w:val="single"/>
                </w:rPr>
                <w:t xml:space="preserve">Marie-Catherine Concé Chemtob</w:t>
              </w:r>
            </w:hyperlink>
          </w:p>
          <w:p>
            <w:pPr/>
            <w:r>
              <w:rPr>
                <w:i w:val="1"/>
                <w:iCs w:val="1"/>
              </w:rPr>
              <w:t xml:space="preserve">Revue générale de droit médical</w:t>
            </w:r>
            <w:r>
              <w:rPr/>
              <w:t xml:space="preserve">, 2017, panorama de droit pharmaceutique (n°4), p97-117</w:t>
            </w:r>
          </w:p>
          <w:p>
            <w:pPr/>
            <w:r>
              <w:rPr/>
              <w:t xml:space="preserve">Article dans une revue</w:t>
            </w:r>
          </w:p>
          <w:p>
            <w:pPr/>
            <w:hyperlink r:id="rId9" w:history="1">
              <w:r>
                <w:rPr>
                  <w:color w:val="#410a8c"/>
                  <w:u w:val="single"/>
                </w:rPr>
                <w:t xml:space="preserve">hal-04909798v1</w:t>
              </w:r>
            </w:hyperlink>
          </w:p>
        </w:tc>
      </w:tr>
      <w:tr>
        <w:trPr/>
        <w:tc>
          <w:tcPr>
            <w:noWrap/>
          </w:tcPr>
          <w:p>
            <w:pPr>
              <w:spacing w:after="200"/>
            </w:pPr>
            <w:hyperlink r:id="rId11" w:history="1">
              <w:r>
                <w:rPr>
                  <w:color w:val="1e198e"/>
                  <w:b w:val="1"/>
                  <w:bCs w:val="1"/>
                  <w:u w:val="single"/>
                </w:rPr>
                <w:t xml:space="preserve">L’impact des nouvelles dispositions de la loi relative aux recherches impliquant la personne humaine</w:t>
              </w:r>
            </w:hyperlink>
          </w:p>
          <w:p>
            <w:pPr/>
            <w:hyperlink r:id="rId12" w:history="1">
              <w:r>
                <w:rPr>
                  <w:color w:val="#410a8c"/>
                  <w:u w:val="single"/>
                </w:rPr>
                <w:t xml:space="preserve">Marie-Catherine Chemtob-Concé</w:t>
              </w:r>
            </w:hyperlink>
            <w:r>
              <w:rPr/>
              <w:t xml:space="preserve">,</w:t>
            </w:r>
            <w:hyperlink r:id="rId13" w:history="1">
              <w:r>
                <w:rPr>
                  <w:color w:val="#410a8c"/>
                  <w:u w:val="single"/>
                </w:rPr>
                <w:t xml:space="preserve">Anne Cailleux</w:t>
              </w:r>
            </w:hyperlink>
          </w:p>
          <w:p>
            <w:pPr/>
            <w:r>
              <w:rPr>
                <w:i w:val="1"/>
                <w:iCs w:val="1"/>
              </w:rPr>
              <w:t xml:space="preserve">Médecine &amp; Droit</w:t>
            </w:r>
            <w:r>
              <w:rPr/>
              <w:t xml:space="preserve">, 2013, 2013, pp.30 - 34. </w:t>
            </w:r>
            <w:hyperlink r:id="rId14" w:history="1">
              <w:r>
                <w:rPr>
                  <w:color w:val="#410a8c"/>
                  <w:u w:val="single"/>
                </w:rPr>
                <w:t xml:space="preserve">⟨10.1016/j.meddro.2012.12.007⟩</w:t>
              </w:r>
            </w:hyperlink>
          </w:p>
          <w:p>
            <w:pPr/>
            <w:r>
              <w:rPr/>
              <w:t xml:space="preserve">Article dans une revue</w:t>
            </w:r>
          </w:p>
          <w:p>
            <w:pPr/>
            <w:hyperlink r:id="rId11" w:history="1">
              <w:r>
                <w:rPr>
                  <w:color w:val="#410a8c"/>
                  <w:u w:val="single"/>
                </w:rPr>
                <w:t xml:space="preserve">hal-04890461v1</w:t>
              </w:r>
            </w:hyperlink>
          </w:p>
        </w:tc>
      </w:tr>
      <w:tr>
        <w:trPr/>
        <w:tc>
          <w:tcPr>
            <w:noWrap/>
          </w:tcPr>
          <w:p>
            <w:pPr>
              <w:spacing w:after="200"/>
            </w:pPr>
            <w:hyperlink r:id="rId15" w:history="1">
              <w:r>
                <w:rPr>
                  <w:color w:val="1e198e"/>
                  <w:b w:val="1"/>
                  <w:bCs w:val="1"/>
                  <w:u w:val="single"/>
                </w:rPr>
                <w:t xml:space="preserve">Le renforcement du système de pharmacovigilance de l’Union européenne. (Analyse du nouveau cadre réglementaire issu des dispositions de la directive 2010/84/UE et du règlement [UE] no 1235/2010)</w:t>
              </w:r>
            </w:hyperlink>
          </w:p>
          <w:p>
            <w:pPr/>
            <w:hyperlink r:id="rId16" w:history="1">
              <w:r>
                <w:rPr>
                  <w:color w:val="#410a8c"/>
                  <w:u w:val="single"/>
                </w:rPr>
                <w:t xml:space="preserve">Marie-Catherine Chemtob</w:t>
              </w:r>
            </w:hyperlink>
            <w:r>
              <w:rPr/>
              <w:t xml:space="preserve">,</w:t>
            </w:r>
            <w:hyperlink r:id="rId17" w:history="1">
              <w:r>
                <w:rPr>
                  <w:color w:val="#410a8c"/>
                  <w:u w:val="single"/>
                </w:rPr>
                <w:t xml:space="preserve">Maître de Conférences-Hdr</w:t>
              </w:r>
            </w:hyperlink>
          </w:p>
          <w:p>
            <w:pPr/>
            <w:r>
              <w:rPr>
                <w:i w:val="1"/>
                <w:iCs w:val="1"/>
              </w:rPr>
              <w:t xml:space="preserve">Médecine &amp; Droit</w:t>
            </w:r>
            <w:r>
              <w:rPr/>
              <w:t xml:space="preserve">, 2012, 2012, pp.114 - 120. </w:t>
            </w:r>
            <w:hyperlink r:id="rId18" w:history="1">
              <w:r>
                <w:rPr>
                  <w:color w:val="#410a8c"/>
                  <w:u w:val="single"/>
                </w:rPr>
                <w:t xml:space="preserve">⟨10.1016/j.meddro.2012.06.001⟩</w:t>
              </w:r>
            </w:hyperlink>
          </w:p>
          <w:p>
            <w:pPr/>
            <w:r>
              <w:rPr/>
              <w:t xml:space="preserve">Article dans une revue</w:t>
            </w:r>
          </w:p>
          <w:p>
            <w:pPr/>
            <w:hyperlink r:id="rId15" w:history="1">
              <w:r>
                <w:rPr>
                  <w:color w:val="#410a8c"/>
                  <w:u w:val="single"/>
                </w:rPr>
                <w:t xml:space="preserve">hal-04886232v1</w:t>
              </w:r>
            </w:hyperlink>
          </w:p>
        </w:tc>
      </w:tr>
      <w:tr>
        <w:trPr/>
        <w:tc>
          <w:tcPr>
            <w:noWrap/>
          </w:tcPr>
          <w:p>
            <w:pPr>
              <w:spacing w:after="200"/>
            </w:pPr>
            <w:hyperlink r:id="rId19" w:history="1">
              <w:r>
                <w:rPr>
                  <w:color w:val="1e198e"/>
                  <w:b w:val="1"/>
                  <w:bCs w:val="1"/>
                  <w:u w:val="single"/>
                </w:rPr>
                <w:t xml:space="preserve">UN CADRE JURIDIQUE UNIQUE POUR LES RECHERCHES IMPLIQUANT LA PERSONNE HUMAINE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2012, 2012 (n°167-168), p 6-8</w:t>
            </w:r>
          </w:p>
          <w:p>
            <w:pPr/>
            <w:r>
              <w:rPr/>
              <w:t xml:space="preserve">Article dans une revue</w:t>
            </w:r>
          </w:p>
          <w:p>
            <w:pPr/>
            <w:hyperlink r:id="rId19" w:history="1">
              <w:r>
                <w:rPr>
                  <w:color w:val="#410a8c"/>
                  <w:u w:val="single"/>
                </w:rPr>
                <w:t xml:space="preserve">hal-04891720v1</w:t>
              </w:r>
            </w:hyperlink>
          </w:p>
        </w:tc>
      </w:tr>
      <w:tr>
        <w:trPr/>
        <w:tc>
          <w:tcPr>
            <w:noWrap/>
          </w:tcPr>
          <w:p>
            <w:pPr>
              <w:spacing w:after="200"/>
            </w:pPr>
            <w:hyperlink r:id="rId20" w:history="1">
              <w:r>
                <w:rPr>
                  <w:color w:val="1e198e"/>
                  <w:b w:val="1"/>
                  <w:bCs w:val="1"/>
                  <w:u w:val="single"/>
                </w:rPr>
                <w:t xml:space="preserve">La réglementation des préparations magistrales et la question du déconditionnement des spécialités</w:t>
              </w:r>
            </w:hyperlink>
          </w:p>
          <w:p>
            <w:pPr/>
            <w:hyperlink r:id="rId8" w:history="1">
              <w:r>
                <w:rPr>
                  <w:color w:val="#410a8c"/>
                  <w:u w:val="single"/>
                </w:rPr>
                <w:t xml:space="preserve">Marie-Catherine Concé Chemtob</w:t>
              </w:r>
            </w:hyperlink>
            <w:r>
              <w:rPr/>
              <w:t xml:space="preserve">,</w:t>
            </w:r>
            <w:hyperlink r:id="rId21" w:history="1">
              <w:r>
                <w:rPr>
                  <w:color w:val="#410a8c"/>
                  <w:u w:val="single"/>
                </w:rPr>
                <w:t xml:space="preserve">Eric Fouassier</w:t>
              </w:r>
            </w:hyperlink>
          </w:p>
          <w:p>
            <w:pPr/>
            <w:r>
              <w:rPr>
                <w:i w:val="1"/>
                <w:iCs w:val="1"/>
              </w:rPr>
              <w:t xml:space="preserve">Les Nouvelles Pharmaceutiques</w:t>
            </w:r>
            <w:r>
              <w:rPr/>
              <w:t xml:space="preserve">, 2010, 2010 (n°407)</w:t>
            </w:r>
          </w:p>
          <w:p>
            <w:pPr/>
            <w:r>
              <w:rPr/>
              <w:t xml:space="preserve">Article dans une revue</w:t>
            </w:r>
          </w:p>
          <w:p>
            <w:pPr/>
            <w:hyperlink r:id="rId20" w:history="1">
              <w:r>
                <w:rPr>
                  <w:color w:val="#410a8c"/>
                  <w:u w:val="single"/>
                </w:rPr>
                <w:t xml:space="preserve">hal-04909902v1</w:t>
              </w:r>
            </w:hyperlink>
          </w:p>
        </w:tc>
      </w:tr>
      <w:tr>
        <w:trPr/>
        <w:tc>
          <w:tcPr>
            <w:noWrap/>
          </w:tcPr>
          <w:p>
            <w:pPr>
              <w:spacing w:after="200"/>
            </w:pPr>
            <w:hyperlink r:id="rId22" w:history="1">
              <w:r>
                <w:rPr>
                  <w:color w:val="1e198e"/>
                  <w:b w:val="1"/>
                  <w:bCs w:val="1"/>
                  <w:u w:val="single"/>
                </w:rPr>
                <w:t xml:space="preserve">La réforme de la biologie médicale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2010, n°73, p 6-9</w:t>
            </w:r>
          </w:p>
          <w:p>
            <w:pPr/>
            <w:r>
              <w:rPr/>
              <w:t xml:space="preserve">Article dans une revue</w:t>
            </w:r>
          </w:p>
          <w:p>
            <w:pPr/>
            <w:hyperlink r:id="rId22" w:history="1">
              <w:r>
                <w:rPr>
                  <w:color w:val="#410a8c"/>
                  <w:u w:val="single"/>
                </w:rPr>
                <w:t xml:space="preserve">hal-04907983v1</w:t>
              </w:r>
            </w:hyperlink>
          </w:p>
        </w:tc>
      </w:tr>
      <w:tr>
        <w:trPr/>
        <w:tc>
          <w:tcPr>
            <w:noWrap/>
          </w:tcPr>
          <w:p>
            <w:pPr>
              <w:spacing w:after="200"/>
            </w:pPr>
            <w:hyperlink r:id="rId23" w:history="1">
              <w:r>
                <w:rPr>
                  <w:color w:val="1e198e"/>
                  <w:b w:val="1"/>
                  <w:bCs w:val="1"/>
                  <w:u w:val="single"/>
                </w:rPr>
                <w:t xml:space="preserve">LA RÉFORME DE LA BIOLOGIE MÉDICALE</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2010, 2010 (n°73), p 96-104</w:t>
            </w:r>
          </w:p>
          <w:p>
            <w:pPr/>
            <w:r>
              <w:rPr/>
              <w:t xml:space="preserve">Article dans une revue</w:t>
            </w:r>
          </w:p>
          <w:p>
            <w:pPr/>
            <w:hyperlink r:id="rId23" w:history="1">
              <w:r>
                <w:rPr>
                  <w:color w:val="#410a8c"/>
                  <w:u w:val="single"/>
                </w:rPr>
                <w:t xml:space="preserve">hal-04890867v1</w:t>
              </w:r>
            </w:hyperlink>
          </w:p>
        </w:tc>
      </w:tr>
      <w:tr>
        <w:trPr/>
        <w:tc>
          <w:tcPr>
            <w:noWrap/>
          </w:tcPr>
          <w:p>
            <w:pPr>
              <w:spacing w:after="200"/>
            </w:pPr>
            <w:hyperlink r:id="rId24" w:history="1">
              <w:r>
                <w:rPr>
                  <w:color w:val="1e198e"/>
                  <w:b w:val="1"/>
                  <w:bCs w:val="1"/>
                  <w:u w:val="single"/>
                </w:rPr>
                <w:t xml:space="preserve">De nouvelles précisions sur les conditions de reconditionnement des médicaments importés parallèlement: une jurisprudence favorable aux importateurs; note sous CJCE 22 décembre 2008</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2009, 2009 (70-71), p 50-52</w:t>
            </w:r>
          </w:p>
          <w:p>
            <w:pPr/>
            <w:r>
              <w:rPr/>
              <w:t xml:space="preserve">Article dans une revue</w:t>
            </w:r>
          </w:p>
          <w:p>
            <w:pPr/>
            <w:hyperlink r:id="rId24" w:history="1">
              <w:r>
                <w:rPr>
                  <w:color w:val="#410a8c"/>
                  <w:u w:val="single"/>
                </w:rPr>
                <w:t xml:space="preserve">hal-04890807v1</w:t>
              </w:r>
            </w:hyperlink>
          </w:p>
        </w:tc>
      </w:tr>
      <w:tr>
        <w:trPr/>
        <w:tc>
          <w:tcPr>
            <w:noWrap/>
          </w:tcPr>
          <w:p>
            <w:pPr>
              <w:spacing w:after="200"/>
            </w:pPr>
            <w:hyperlink r:id="rId25" w:history="1">
              <w:r>
                <w:rPr>
                  <w:color w:val="1e198e"/>
                  <w:b w:val="1"/>
                  <w:bCs w:val="1"/>
                  <w:u w:val="single"/>
                </w:rPr>
                <w:t xml:space="preserve">L'obligation de prescription en dénomination commune internationale</w:t>
              </w:r>
            </w:hyperlink>
          </w:p>
          <w:p>
            <w:pPr/>
            <w:hyperlink r:id="rId12" w:history="1">
              <w:r>
                <w:rPr>
                  <w:color w:val="#410a8c"/>
                  <w:u w:val="single"/>
                </w:rPr>
                <w:t xml:space="preserve">Marie-Catherine Chemtob-Concé</w:t>
              </w:r>
            </w:hyperlink>
          </w:p>
          <w:p>
            <w:pPr/>
            <w:r>
              <w:rPr>
                <w:i w:val="1"/>
                <w:iCs w:val="1"/>
              </w:rPr>
              <w:t xml:space="preserve">Gazette du Palais</w:t>
            </w:r>
            <w:r>
              <w:rPr/>
              <w:t xml:space="preserve">, 2009, 2009 (n°326-328), p 44-46</w:t>
            </w:r>
          </w:p>
          <w:p>
            <w:pPr/>
            <w:r>
              <w:rPr/>
              <w:t xml:space="preserve">Article dans une revue</w:t>
            </w:r>
          </w:p>
          <w:p>
            <w:pPr/>
            <w:hyperlink r:id="rId25" w:history="1">
              <w:r>
                <w:rPr>
                  <w:color w:val="#410a8c"/>
                  <w:u w:val="single"/>
                </w:rPr>
                <w:t xml:space="preserve">hal-04891400v1</w:t>
              </w:r>
            </w:hyperlink>
          </w:p>
        </w:tc>
      </w:tr>
      <w:tr>
        <w:trPr/>
        <w:tc>
          <w:tcPr>
            <w:noWrap/>
          </w:tcPr>
          <w:p>
            <w:pPr>
              <w:spacing w:after="200"/>
            </w:pPr>
            <w:hyperlink r:id="rId26" w:history="1">
              <w:r>
                <w:rPr>
                  <w:color w:val="1e198e"/>
                  <w:b w:val="1"/>
                  <w:bCs w:val="1"/>
                  <w:u w:val="single"/>
                </w:rPr>
                <w:t xml:space="preserve">Définition juridique du médicament: les précisions de la jurisprudence relatives à la qualification de médicament et à l'application de la règle supplétoire; note sous CJCE 15 janvier 2009</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2009, 2009 (n°90), p9-13</w:t>
            </w:r>
          </w:p>
          <w:p>
            <w:pPr/>
            <w:r>
              <w:rPr/>
              <w:t xml:space="preserve">Article dans une revue</w:t>
            </w:r>
          </w:p>
          <w:p>
            <w:pPr/>
            <w:hyperlink r:id="rId26" w:history="1">
              <w:r>
                <w:rPr>
                  <w:color w:val="#410a8c"/>
                  <w:u w:val="single"/>
                </w:rPr>
                <w:t xml:space="preserve">hal-04890666v1</w:t>
              </w:r>
            </w:hyperlink>
          </w:p>
        </w:tc>
      </w:tr>
      <w:tr>
        <w:trPr/>
        <w:tc>
          <w:tcPr>
            <w:noWrap/>
          </w:tcPr>
          <w:p>
            <w:pPr>
              <w:spacing w:after="200"/>
            </w:pPr>
            <w:hyperlink r:id="rId27" w:history="1">
              <w:r>
                <w:rPr>
                  <w:color w:val="1e198e"/>
                  <w:b w:val="1"/>
                  <w:bCs w:val="1"/>
                  <w:u w:val="single"/>
                </w:rPr>
                <w:t xml:space="preserve">La nécessité d'établir des règles plus strictes pour le reconditionnement des médicaments importés parallèlement</w:t>
              </w:r>
            </w:hyperlink>
          </w:p>
          <w:p>
            <w:pPr/>
            <w:hyperlink r:id="rId8" w:history="1">
              <w:r>
                <w:rPr>
                  <w:color w:val="#410a8c"/>
                  <w:u w:val="single"/>
                </w:rPr>
                <w:t xml:space="preserve">Marie-Catherine Concé Chemtob</w:t>
              </w:r>
            </w:hyperlink>
          </w:p>
          <w:p>
            <w:pPr/>
            <w:r>
              <w:rPr>
                <w:i w:val="1"/>
                <w:iCs w:val="1"/>
              </w:rPr>
              <w:t xml:space="preserve">Propriété industrielle</w:t>
            </w:r>
            <w:r>
              <w:rPr/>
              <w:t xml:space="preserve">, 2009, 2009 (9), p 10-14</w:t>
            </w:r>
          </w:p>
          <w:p>
            <w:pPr/>
            <w:r>
              <w:rPr/>
              <w:t xml:space="preserve">Article dans une revue</w:t>
            </w:r>
          </w:p>
          <w:p>
            <w:pPr/>
            <w:hyperlink r:id="rId27" w:history="1">
              <w:r>
                <w:rPr>
                  <w:color w:val="#410a8c"/>
                  <w:u w:val="single"/>
                </w:rPr>
                <w:t xml:space="preserve">hal-04890983v1</w:t>
              </w:r>
            </w:hyperlink>
          </w:p>
        </w:tc>
      </w:tr>
      <w:tr>
        <w:trPr/>
        <w:tc>
          <w:tcPr>
            <w:noWrap/>
          </w:tcPr>
          <w:p>
            <w:pPr>
              <w:spacing w:after="200"/>
            </w:pPr>
            <w:hyperlink r:id="rId28" w:history="1">
              <w:r>
                <w:rPr>
                  <w:color w:val="1e198e"/>
                  <w:b w:val="1"/>
                  <w:bCs w:val="1"/>
                  <w:u w:val="single"/>
                </w:rPr>
                <w:t xml:space="preserve">La confirmation par la CJCE des règles de détention et d'exploitation d'une pharmacie, note sous CJCE 19 mai 2009</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2009, 2009 (296-297), p 16-19</w:t>
            </w:r>
          </w:p>
          <w:p>
            <w:pPr/>
            <w:r>
              <w:rPr/>
              <w:t xml:space="preserve">Article dans une revue</w:t>
            </w:r>
          </w:p>
          <w:p>
            <w:pPr/>
            <w:hyperlink r:id="rId28" w:history="1">
              <w:r>
                <w:rPr>
                  <w:color w:val="#410a8c"/>
                  <w:u w:val="single"/>
                </w:rPr>
                <w:t xml:space="preserve">hal-04890966v1</w:t>
              </w:r>
            </w:hyperlink>
          </w:p>
        </w:tc>
      </w:tr>
      <w:tr>
        <w:trPr/>
        <w:tc>
          <w:tcPr>
            <w:noWrap/>
          </w:tcPr>
          <w:p>
            <w:pPr>
              <w:spacing w:after="200"/>
            </w:pPr>
            <w:hyperlink r:id="rId29" w:history="1">
              <w:r>
                <w:rPr>
                  <w:color w:val="1e198e"/>
                  <w:b w:val="1"/>
                  <w:bCs w:val="1"/>
                  <w:u w:val="single"/>
                </w:rPr>
                <w:t xml:space="preserve">La contrefaçon de médicaments</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2008, 2008 (158-159), p 47-50</w:t>
            </w:r>
          </w:p>
          <w:p>
            <w:pPr/>
            <w:r>
              <w:rPr/>
              <w:t xml:space="preserve">Article dans une revue</w:t>
            </w:r>
          </w:p>
          <w:p>
            <w:pPr/>
            <w:hyperlink r:id="rId29" w:history="1">
              <w:r>
                <w:rPr>
                  <w:color w:val="#410a8c"/>
                  <w:u w:val="single"/>
                </w:rPr>
                <w:t xml:space="preserve">hal-04890739v1</w:t>
              </w:r>
            </w:hyperlink>
          </w:p>
        </w:tc>
      </w:tr>
      <w:tr>
        <w:trPr/>
        <w:tc>
          <w:tcPr>
            <w:noWrap/>
          </w:tcPr>
          <w:p>
            <w:pPr>
              <w:spacing w:after="200"/>
            </w:pPr>
            <w:hyperlink r:id="rId30" w:history="1">
              <w:r>
                <w:rPr>
                  <w:color w:val="1e198e"/>
                  <w:b w:val="1"/>
                  <w:bCs w:val="1"/>
                  <w:u w:val="single"/>
                </w:rPr>
                <w:t xml:space="preserve">LES DIFFERENTS MODES DE PRISE EN CHARGE A DOMICILE ET LE MAINTIEN A DOMICILE(2eme partie)</w:t>
              </w:r>
            </w:hyperlink>
          </w:p>
          <w:p>
            <w:pPr/>
            <w:hyperlink r:id="rId31" w:history="1">
              <w:r>
                <w:rPr>
                  <w:color w:val="#410a8c"/>
                  <w:u w:val="single"/>
                </w:rPr>
                <w:t xml:space="preserve">Anne Lepileur</w:t>
              </w:r>
            </w:hyperlink>
            <w:r>
              <w:rPr/>
              <w:t xml:space="preserve">,</w:t>
            </w:r>
            <w:hyperlink r:id="rId8" w:history="1">
              <w:r>
                <w:rPr>
                  <w:color w:val="#410a8c"/>
                  <w:u w:val="single"/>
                </w:rPr>
                <w:t xml:space="preserve">Marie-Catherine Concé Chemtob</w:t>
              </w:r>
            </w:hyperlink>
          </w:p>
          <w:p>
            <w:pPr/>
            <w:r>
              <w:rPr>
                <w:i w:val="1"/>
                <w:iCs w:val="1"/>
              </w:rPr>
              <w:t xml:space="preserve">Les Nouvelles Pharmaceutiques</w:t>
            </w:r>
            <w:r>
              <w:rPr/>
              <w:t xml:space="preserve">, 2008, 2008 (n°320)</w:t>
            </w:r>
          </w:p>
          <w:p>
            <w:pPr/>
            <w:r>
              <w:rPr/>
              <w:t xml:space="preserve">Article dans une revue</w:t>
            </w:r>
          </w:p>
          <w:p>
            <w:pPr/>
            <w:hyperlink r:id="rId30" w:history="1">
              <w:r>
                <w:rPr>
                  <w:color w:val="#410a8c"/>
                  <w:u w:val="single"/>
                </w:rPr>
                <w:t xml:space="preserve">hal-04909774v1</w:t>
              </w:r>
            </w:hyperlink>
          </w:p>
        </w:tc>
      </w:tr>
      <w:tr>
        <w:trPr/>
        <w:tc>
          <w:tcPr>
            <w:noWrap/>
          </w:tcPr>
          <w:p>
            <w:pPr>
              <w:spacing w:after="200"/>
            </w:pPr>
            <w:hyperlink r:id="rId32" w:history="1">
              <w:r>
                <w:rPr>
                  <w:color w:val="1e198e"/>
                  <w:b w:val="1"/>
                  <w:bCs w:val="1"/>
                  <w:u w:val="single"/>
                </w:rPr>
                <w:t xml:space="preserve">LES DIFFERENTS MODES DE PRISE EN CHARGE A DOMICILE ET LE MAINTIEN A DOMICILE(1ère partie)</w:t>
              </w:r>
            </w:hyperlink>
          </w:p>
          <w:p>
            <w:pPr/>
            <w:hyperlink r:id="rId31" w:history="1">
              <w:r>
                <w:rPr>
                  <w:color w:val="#410a8c"/>
                  <w:u w:val="single"/>
                </w:rPr>
                <w:t xml:space="preserve">Anne Lepileur</w:t>
              </w:r>
            </w:hyperlink>
            <w:r>
              <w:rPr/>
              <w:t xml:space="preserve">,</w:t>
            </w:r>
            <w:hyperlink r:id="rId8" w:history="1">
              <w:r>
                <w:rPr>
                  <w:color w:val="#410a8c"/>
                  <w:u w:val="single"/>
                </w:rPr>
                <w:t xml:space="preserve">Marie-Catherine Concé Chemtob</w:t>
              </w:r>
            </w:hyperlink>
          </w:p>
          <w:p>
            <w:pPr/>
            <w:r>
              <w:rPr>
                <w:i w:val="1"/>
                <w:iCs w:val="1"/>
              </w:rPr>
              <w:t xml:space="preserve">Les Nouvelles Pharmaceutiques</w:t>
            </w:r>
            <w:r>
              <w:rPr/>
              <w:t xml:space="preserve">, 2008, 2008 (n°319), p 319-324</w:t>
            </w:r>
          </w:p>
          <w:p>
            <w:pPr/>
            <w:r>
              <w:rPr/>
              <w:t xml:space="preserve">Article dans une revue</w:t>
            </w:r>
          </w:p>
          <w:p>
            <w:pPr/>
            <w:hyperlink r:id="rId32" w:history="1">
              <w:r>
                <w:rPr>
                  <w:color w:val="#410a8c"/>
                  <w:u w:val="single"/>
                </w:rPr>
                <w:t xml:space="preserve">hal-04909786v1</w:t>
              </w:r>
            </w:hyperlink>
          </w:p>
        </w:tc>
      </w:tr>
      <w:tr>
        <w:trPr/>
        <w:tc>
          <w:tcPr>
            <w:noWrap/>
          </w:tcPr>
          <w:p>
            <w:pPr>
              <w:spacing w:after="200"/>
            </w:pPr>
            <w:hyperlink r:id="rId33" w:history="1">
              <w:r>
                <w:rPr>
                  <w:color w:val="1e198e"/>
                  <w:b w:val="1"/>
                  <w:bCs w:val="1"/>
                  <w:u w:val="single"/>
                </w:rPr>
                <w:t xml:space="preserve">La revalorisation du parcours de soins et de l'acte pharmaceutique: Dossier médical personnel et dossier pharmaceutique</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2007, 2007 (n°173-174), p 2-5</w:t>
            </w:r>
          </w:p>
          <w:p>
            <w:pPr/>
            <w:r>
              <w:rPr/>
              <w:t xml:space="preserve">Article dans une revue</w:t>
            </w:r>
          </w:p>
          <w:p>
            <w:pPr/>
            <w:hyperlink r:id="rId33" w:history="1">
              <w:r>
                <w:rPr>
                  <w:color w:val="#410a8c"/>
                  <w:u w:val="single"/>
                </w:rPr>
                <w:t xml:space="preserve">hal-04890830v1</w:t>
              </w:r>
            </w:hyperlink>
          </w:p>
        </w:tc>
      </w:tr>
      <w:tr>
        <w:trPr/>
        <w:tc>
          <w:tcPr>
            <w:noWrap/>
          </w:tcPr>
          <w:p>
            <w:pPr>
              <w:spacing w:after="200"/>
            </w:pPr>
            <w:hyperlink r:id="rId34" w:history="1">
              <w:r>
                <w:rPr>
                  <w:color w:val="1e198e"/>
                  <w:b w:val="1"/>
                  <w:bCs w:val="1"/>
                  <w:u w:val="single"/>
                </w:rPr>
                <w:t xml:space="preserve">LA RÉGLEMENTATION EUROPÉENNE DES MÉDICAMENTS À USAGE PÉDIATRIQUE : UN CADRE JURIDIQUE SPÉCIFIQUE ET INCITATIF</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2007, 2007 (n°75), p 9-12</w:t>
            </w:r>
          </w:p>
          <w:p>
            <w:pPr/>
            <w:r>
              <w:rPr/>
              <w:t xml:space="preserve">Article dans une revue</w:t>
            </w:r>
          </w:p>
          <w:p>
            <w:pPr/>
            <w:hyperlink r:id="rId34" w:history="1">
              <w:r>
                <w:rPr>
                  <w:color w:val="#410a8c"/>
                  <w:u w:val="single"/>
                </w:rPr>
                <w:t xml:space="preserve">hal-04891019v1</w:t>
              </w:r>
            </w:hyperlink>
          </w:p>
        </w:tc>
      </w:tr>
      <w:tr>
        <w:trPr/>
        <w:tc>
          <w:tcPr>
            <w:noWrap/>
          </w:tcPr>
          <w:p>
            <w:pPr>
              <w:spacing w:after="200"/>
            </w:pPr>
            <w:hyperlink r:id="rId35" w:history="1">
              <w:r>
                <w:rPr>
                  <w:color w:val="1e198e"/>
                  <w:b w:val="1"/>
                  <w:bCs w:val="1"/>
                  <w:u w:val="single"/>
                </w:rPr>
                <w:t xml:space="preserve">Aspects techniques et juridiques liés aux médicaments de thérapie innovante</w:t>
              </w:r>
            </w:hyperlink>
          </w:p>
          <w:p>
            <w:pPr/>
            <w:hyperlink r:id="rId8" w:history="1">
              <w:r>
                <w:rPr>
                  <w:color w:val="#410a8c"/>
                  <w:u w:val="single"/>
                </w:rPr>
                <w:t xml:space="preserve">Marie-Catherine Concé Chemtob</w:t>
              </w:r>
            </w:hyperlink>
          </w:p>
          <w:p>
            <w:pPr/>
            <w:r>
              <w:rPr>
                <w:i w:val="1"/>
                <w:iCs w:val="1"/>
              </w:rPr>
              <w:t xml:space="preserve">Gazette du Palais</w:t>
            </w:r>
            <w:r>
              <w:rPr/>
              <w:t xml:space="preserve">, 2007, 2007 (n°320-321), p 54-57</w:t>
            </w:r>
          </w:p>
          <w:p>
            <w:pPr/>
            <w:r>
              <w:rPr/>
              <w:t xml:space="preserve">Article dans une revue</w:t>
            </w:r>
          </w:p>
          <w:p>
            <w:pPr/>
            <w:hyperlink r:id="rId35" w:history="1">
              <w:r>
                <w:rPr>
                  <w:color w:val="#410a8c"/>
                  <w:u w:val="single"/>
                </w:rPr>
                <w:t xml:space="preserve">hal-04891484v1</w:t>
              </w:r>
            </w:hyperlink>
          </w:p>
        </w:tc>
      </w:tr>
      <w:tr>
        <w:trPr/>
        <w:tc>
          <w:tcPr>
            <w:noWrap/>
          </w:tcPr>
          <w:p>
            <w:pPr>
              <w:spacing w:after="200"/>
            </w:pPr>
            <w:hyperlink r:id="rId36" w:history="1">
              <w:r>
                <w:rPr>
                  <w:color w:val="1e198e"/>
                  <w:b w:val="1"/>
                  <w:bCs w:val="1"/>
                  <w:u w:val="single"/>
                </w:rPr>
                <w:t xml:space="preserve">Le nouvel encadrement juridique et éthique de la recherche biomédicale en France</w:t>
              </w:r>
            </w:hyperlink>
          </w:p>
          <w:p>
            <w:pPr/>
            <w:hyperlink r:id="rId8" w:history="1">
              <w:r>
                <w:rPr>
                  <w:color w:val="#410a8c"/>
                  <w:u w:val="single"/>
                </w:rPr>
                <w:t xml:space="preserve">Marie-Catherine Concé Chemtob</w:t>
              </w:r>
            </w:hyperlink>
          </w:p>
          <w:p>
            <w:pPr/>
            <w:r>
              <w:rPr>
                <w:i w:val="1"/>
                <w:iCs w:val="1"/>
              </w:rPr>
              <w:t xml:space="preserve">Revue générale de droit médical</w:t>
            </w:r>
            <w:r>
              <w:rPr/>
              <w:t xml:space="preserve">, 2005, n°14, p 255-272</w:t>
            </w:r>
          </w:p>
          <w:p>
            <w:pPr/>
            <w:r>
              <w:rPr/>
              <w:t xml:space="preserve">Article dans une revue</w:t>
            </w:r>
          </w:p>
          <w:p>
            <w:pPr/>
            <w:hyperlink r:id="rId36" w:history="1">
              <w:r>
                <w:rPr>
                  <w:color w:val="#410a8c"/>
                  <w:u w:val="single"/>
                </w:rPr>
                <w:t xml:space="preserve">hal-04910063v1</w:t>
              </w:r>
            </w:hyperlink>
          </w:p>
        </w:tc>
      </w:tr>
      <w:tr>
        <w:trPr/>
        <w:tc>
          <w:tcPr>
            <w:noWrap/>
          </w:tcPr>
          <w:p>
            <w:pPr>
              <w:spacing w:after="200"/>
            </w:pPr>
            <w:hyperlink r:id="rId37" w:history="1">
              <w:r>
                <w:rPr>
                  <w:color w:val="1e198e"/>
                  <w:b w:val="1"/>
                  <w:bCs w:val="1"/>
                  <w:u w:val="single"/>
                </w:rPr>
                <w:t xml:space="preserve">La révision des lois de bioéthique</w:t>
              </w:r>
            </w:hyperlink>
          </w:p>
          <w:p>
            <w:pPr/>
            <w:hyperlink r:id="rId8" w:history="1">
              <w:r>
                <w:rPr>
                  <w:color w:val="#410a8c"/>
                  <w:u w:val="single"/>
                </w:rPr>
                <w:t xml:space="preserve">Marie-Catherine Concé Chemtob</w:t>
              </w:r>
            </w:hyperlink>
          </w:p>
          <w:p>
            <w:pPr/>
            <w:r>
              <w:rPr>
                <w:i w:val="1"/>
                <w:iCs w:val="1"/>
              </w:rPr>
              <w:t xml:space="preserve">Médecine &amp; Droit</w:t>
            </w:r>
            <w:r>
              <w:rPr/>
              <w:t xml:space="preserve">, 2004, 2004-08 (66-77), p 71-80</w:t>
            </w:r>
          </w:p>
          <w:p>
            <w:pPr/>
            <w:r>
              <w:rPr/>
              <w:t xml:space="preserve">Article dans une revue</w:t>
            </w:r>
          </w:p>
          <w:p>
            <w:pPr/>
            <w:hyperlink r:id="rId37" w:history="1">
              <w:r>
                <w:rPr>
                  <w:color w:val="#410a8c"/>
                  <w:u w:val="single"/>
                </w:rPr>
                <w:t xml:space="preserve">hal-04891963v1</w:t>
              </w:r>
            </w:hyperlink>
          </w:p>
        </w:tc>
      </w:tr>
      <w:tr>
        <w:trPr/>
        <w:tc>
          <w:tcPr>
            <w:noWrap/>
          </w:tcPr>
          <w:p>
            <w:pPr>
              <w:spacing w:after="200"/>
            </w:pPr>
            <w:hyperlink r:id="rId38" w:history="1">
              <w:r>
                <w:rPr>
                  <w:color w:val="1e198e"/>
                  <w:b w:val="1"/>
                  <w:bCs w:val="1"/>
                  <w:u w:val="single"/>
                </w:rPr>
                <w:t xml:space="preserve">La réforme européenne de la législation pharmaceutique</w:t>
              </w:r>
            </w:hyperlink>
          </w:p>
          <w:p>
            <w:pPr/>
            <w:hyperlink r:id="rId8" w:history="1">
              <w:r>
                <w:rPr>
                  <w:color w:val="#410a8c"/>
                  <w:u w:val="single"/>
                </w:rPr>
                <w:t xml:space="preserve">Marie-Catherine Concé Chemtob</w:t>
              </w:r>
            </w:hyperlink>
          </w:p>
          <w:p>
            <w:pPr/>
            <w:r>
              <w:rPr>
                <w:i w:val="1"/>
                <w:iCs w:val="1"/>
              </w:rPr>
              <w:t xml:space="preserve">Les Nouvelles Pharmaceutiques</w:t>
            </w:r>
            <w:r>
              <w:rPr/>
              <w:t xml:space="preserve">, 2002, 2002 (n°377), p 525-533</w:t>
            </w:r>
          </w:p>
          <w:p>
            <w:pPr/>
            <w:r>
              <w:rPr/>
              <w:t xml:space="preserve">Article dans une revue</w:t>
            </w:r>
          </w:p>
          <w:p>
            <w:pPr/>
            <w:hyperlink r:id="rId38" w:history="1">
              <w:r>
                <w:rPr>
                  <w:color w:val="#410a8c"/>
                  <w:u w:val="single"/>
                </w:rPr>
                <w:t xml:space="preserve">hal-04909836v1</w:t>
              </w:r>
            </w:hyperlink>
          </w:p>
        </w:tc>
      </w:tr>
      <w:tr>
        <w:trPr/>
        <w:tc>
          <w:tcPr>
            <w:noWrap/>
          </w:tcPr>
          <w:p>
            <w:pPr>
              <w:spacing w:after="200"/>
            </w:pPr>
            <w:hyperlink r:id="rId39" w:history="1">
              <w:r>
                <w:rPr>
                  <w:color w:val="1e198e"/>
                  <w:b w:val="1"/>
                  <w:bCs w:val="1"/>
                  <w:u w:val="single"/>
                </w:rPr>
                <w:t xml:space="preserve">L'harmonisation des dispositions relatives à la mise en place et au déroulement des essais cliniques dans l'Union européenne</w:t>
              </w:r>
            </w:hyperlink>
          </w:p>
          <w:p>
            <w:pPr/>
            <w:hyperlink r:id="rId8" w:history="1">
              <w:r>
                <w:rPr>
                  <w:color w:val="#410a8c"/>
                  <w:u w:val="single"/>
                </w:rPr>
                <w:t xml:space="preserve">Marie-Catherine Concé Chemtob</w:t>
              </w:r>
            </w:hyperlink>
          </w:p>
          <w:p>
            <w:pPr/>
            <w:r>
              <w:rPr>
                <w:i w:val="1"/>
                <w:iCs w:val="1"/>
              </w:rPr>
              <w:t xml:space="preserve">Revue du marché commun et de l'Union européenne</w:t>
            </w:r>
            <w:r>
              <w:rPr/>
              <w:t xml:space="preserve">, 2001, 2001 (n°447), p 267-275</w:t>
            </w:r>
          </w:p>
          <w:p>
            <w:pPr/>
            <w:r>
              <w:rPr/>
              <w:t xml:space="preserve">Article dans une revue</w:t>
            </w:r>
          </w:p>
          <w:p>
            <w:pPr/>
            <w:hyperlink r:id="rId39" w:history="1">
              <w:r>
                <w:rPr>
                  <w:color w:val="#410a8c"/>
                  <w:u w:val="single"/>
                </w:rPr>
                <w:t xml:space="preserve">hal-04891680v1</w:t>
              </w:r>
            </w:hyperlink>
          </w:p>
        </w:tc>
      </w:tr>
      <w:tr>
        <w:trPr/>
        <w:tc>
          <w:tcPr>
            <w:noWrap/>
          </w:tcPr>
          <w:p>
            <w:pPr>
              <w:spacing w:after="200"/>
            </w:pPr>
            <w:hyperlink r:id="rId40" w:history="1">
              <w:r>
                <w:rPr>
                  <w:color w:val="1e198e"/>
                  <w:b w:val="1"/>
                  <w:bCs w:val="1"/>
                  <w:u w:val="single"/>
                </w:rPr>
                <w:t xml:space="preserve">Une solution nouvelle: les cessions de clientèle médicale sont licites si la liberté de choix du patient est sauvegardée, note sous Cass.1ère Civ 7 novembre 2000</w:t>
              </w:r>
            </w:hyperlink>
          </w:p>
          <w:p>
            <w:pPr/>
            <w:hyperlink r:id="rId8" w:history="1">
              <w:r>
                <w:rPr>
                  <w:color w:val="#410a8c"/>
                  <w:u w:val="single"/>
                </w:rPr>
                <w:t xml:space="preserve">Marie-Catherine Concé Chemtob</w:t>
              </w:r>
            </w:hyperlink>
          </w:p>
          <w:p>
            <w:pPr/>
            <w:r>
              <w:rPr>
                <w:i w:val="1"/>
                <w:iCs w:val="1"/>
              </w:rPr>
              <w:t xml:space="preserve">JurisClasseur Contrats - Distribution [Encyclopédie juridique Juris-classeur]</w:t>
            </w:r>
            <w:r>
              <w:rPr/>
              <w:t xml:space="preserve">, 2001, 2001 (n°4), p 9-11</w:t>
            </w:r>
          </w:p>
          <w:p>
            <w:pPr/>
            <w:r>
              <w:rPr/>
              <w:t xml:space="preserve">Article dans une revue</w:t>
            </w:r>
          </w:p>
          <w:p>
            <w:pPr/>
            <w:hyperlink r:id="rId40" w:history="1">
              <w:r>
                <w:rPr>
                  <w:color w:val="#410a8c"/>
                  <w:u w:val="single"/>
                </w:rPr>
                <w:t xml:space="preserve">hal-04891867v1</w:t>
              </w:r>
            </w:hyperlink>
          </w:p>
        </w:tc>
      </w:tr>
      <w:tr>
        <w:trPr/>
        <w:tc>
          <w:tcPr>
            <w:noWrap/>
          </w:tcPr>
          <w:p>
            <w:pPr>
              <w:spacing w:after="200"/>
            </w:pPr>
            <w:hyperlink r:id="rId41" w:history="1">
              <w:r>
                <w:rPr>
                  <w:color w:val="1e198e"/>
                  <w:b w:val="1"/>
                  <w:bCs w:val="1"/>
                  <w:u w:val="single"/>
                </w:rPr>
                <w:t xml:space="preserve">Le problème de la reconnaissance d'un délai de grâce en droit européen des brevets</w:t>
              </w:r>
            </w:hyperlink>
          </w:p>
          <w:p>
            <w:pPr/>
            <w:hyperlink r:id="rId8" w:history="1">
              <w:r>
                <w:rPr>
                  <w:color w:val="#410a8c"/>
                  <w:u w:val="single"/>
                </w:rPr>
                <w:t xml:space="preserve">Marie-Catherine Concé Chemtob</w:t>
              </w:r>
            </w:hyperlink>
          </w:p>
          <w:p>
            <w:pPr/>
            <w:r>
              <w:rPr>
                <w:i w:val="1"/>
                <w:iCs w:val="1"/>
              </w:rPr>
              <w:t xml:space="preserve">Petites affiches</w:t>
            </w:r>
            <w:r>
              <w:rPr/>
              <w:t xml:space="preserve">, 2000, 2000 (n°194), p 7-13</w:t>
            </w:r>
          </w:p>
          <w:p>
            <w:pPr/>
            <w:r>
              <w:rPr/>
              <w:t xml:space="preserve">Article dans une revue</w:t>
            </w:r>
          </w:p>
          <w:p>
            <w:pPr/>
            <w:hyperlink r:id="rId41" w:history="1">
              <w:r>
                <w:rPr>
                  <w:color w:val="#410a8c"/>
                  <w:u w:val="single"/>
                </w:rPr>
                <w:t xml:space="preserve">hal-04891613v1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médicaments orphelins</w:t>
              </w:r>
            </w:hyperlink>
          </w:p>
          <w:p>
            <w:pPr/>
            <w:hyperlink r:id="rId8" w:history="1">
              <w:r>
                <w:rPr>
                  <w:color w:val="#410a8c"/>
                  <w:u w:val="single"/>
                </w:rPr>
                <w:t xml:space="preserve">Marie-Catherine Concé Chemtob</w:t>
              </w:r>
            </w:hyperlink>
          </w:p>
          <w:p>
            <w:pPr/>
            <w:r>
              <w:rPr/>
              <w:t xml:space="preserve">LEH. Les études hospitalières, 2010, 2010, 978-2-84874-144-4</w:t>
            </w:r>
          </w:p>
          <w:p>
            <w:pPr/>
            <w:r>
              <w:rPr/>
              <w:t xml:space="preserve">Ouvrages</w:t>
            </w:r>
          </w:p>
          <w:p>
            <w:pPr/>
            <w:hyperlink r:id="rId42" w:history="1">
              <w:r>
                <w:rPr>
                  <w:color w:val="#410a8c"/>
                  <w:u w:val="single"/>
                </w:rPr>
                <w:t xml:space="preserve">hal-04910013v1</w:t>
              </w:r>
            </w:hyperlink>
          </w:p>
        </w:tc>
      </w:tr>
      <w:tr>
        <w:trPr/>
        <w:tc>
          <w:tcPr>
            <w:noWrap/>
          </w:tcPr>
          <w:p>
            <w:pPr>
              <w:spacing w:after="200"/>
            </w:pPr>
            <w:hyperlink r:id="rId43" w:history="1">
              <w:r>
                <w:rPr>
                  <w:color w:val="1e198e"/>
                  <w:b w:val="1"/>
                  <w:bCs w:val="1"/>
                  <w:u w:val="single"/>
                </w:rPr>
                <w:t xml:space="preserve">La recherche biomédicale</w:t>
              </w:r>
            </w:hyperlink>
          </w:p>
          <w:p>
            <w:pPr/>
            <w:hyperlink r:id="rId8" w:history="1">
              <w:r>
                <w:rPr>
                  <w:color w:val="#410a8c"/>
                  <w:u w:val="single"/>
                </w:rPr>
                <w:t xml:space="preserve">Marie-Catherine Concé Chemtob</w:t>
              </w:r>
            </w:hyperlink>
          </w:p>
          <w:p>
            <w:pPr/>
            <w:r>
              <w:rPr/>
              <w:t xml:space="preserve">LEH. Les études hospitalières, 2006, 2-84874-066-3</w:t>
            </w:r>
          </w:p>
          <w:p>
            <w:pPr/>
            <w:r>
              <w:rPr/>
              <w:t xml:space="preserve">Ouvrages</w:t>
            </w:r>
          </w:p>
          <w:p>
            <w:pPr/>
            <w:hyperlink r:id="rId43" w:history="1">
              <w:r>
                <w:rPr>
                  <w:color w:val="#410a8c"/>
                  <w:u w:val="single"/>
                </w:rPr>
                <w:t xml:space="preserve">hal-04910113v1</w:t>
              </w:r>
            </w:hyperlink>
          </w:p>
        </w:tc>
      </w:tr>
      <w:tr>
        <w:trPr/>
        <w:tc>
          <w:tcPr>
            <w:noWrap/>
          </w:tcPr>
          <w:p>
            <w:pPr>
              <w:spacing w:after="200"/>
            </w:pPr>
            <w:hyperlink r:id="rId44" w:history="1">
              <w:r>
                <w:rPr>
                  <w:color w:val="1e198e"/>
                  <w:b w:val="1"/>
                  <w:bCs w:val="1"/>
                  <w:u w:val="single"/>
                </w:rPr>
                <w:t xml:space="preserve">La recherche biomédicale : Cas de la thérapie génique</w:t>
              </w:r>
            </w:hyperlink>
          </w:p>
          <w:p>
            <w:pPr/>
            <w:hyperlink r:id="rId8" w:history="1">
              <w:r>
                <w:rPr>
                  <w:color w:val="#410a8c"/>
                  <w:u w:val="single"/>
                </w:rPr>
                <w:t xml:space="preserve">Marie-Catherine Concé Chemtob</w:t>
              </w:r>
            </w:hyperlink>
          </w:p>
          <w:p>
            <w:pPr/>
            <w:r>
              <w:rPr/>
              <w:t xml:space="preserve">LEH. Les études hospitalières; collection essentiel, 2002, 2-9123559-81-3</w:t>
            </w:r>
          </w:p>
          <w:p>
            <w:pPr/>
            <w:r>
              <w:rPr/>
              <w:t xml:space="preserve">Ouvrages</w:t>
            </w:r>
          </w:p>
          <w:p>
            <w:pPr/>
            <w:hyperlink r:id="rId44" w:history="1">
              <w:r>
                <w:rPr>
                  <w:color w:val="#410a8c"/>
                  <w:u w:val="single"/>
                </w:rPr>
                <w:t xml:space="preserve">hal-04910144v1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fixation du prix et les modalités de remboursement des médicaments en France</w:t>
              </w:r>
            </w:hyperlink>
          </w:p>
          <w:p>
            <w:pPr/>
            <w:hyperlink r:id="rId8" w:history="1">
              <w:r>
                <w:rPr>
                  <w:color w:val="#410a8c"/>
                  <w:u w:val="single"/>
                </w:rPr>
                <w:t xml:space="preserve">Marie-Catherine Concé Chemtob</w:t>
              </w:r>
            </w:hyperlink>
          </w:p>
          <w:p>
            <w:pPr/>
            <w:r>
              <w:rPr/>
              <w:t xml:space="preserve">2007, p375-380</w:t>
            </w:r>
          </w:p>
          <w:p>
            <w:pPr/>
            <w:r>
              <w:rPr/>
              <w:t xml:space="preserve">Autre publication scientifique</w:t>
            </w:r>
          </w:p>
          <w:p>
            <w:pPr/>
            <w:hyperlink r:id="rId45" w:history="1">
              <w:r>
                <w:rPr>
                  <w:color w:val="#410a8c"/>
                  <w:u w:val="single"/>
                </w:rPr>
                <w:t xml:space="preserve">hal-04890568v1</w:t>
              </w:r>
            </w:hyperlink>
          </w:p>
        </w:tc>
      </w:tr>
      <w:tr>
        <w:trPr/>
        <w:tc>
          <w:tcPr>
            <w:noWrap/>
          </w:tcPr>
          <w:p>
            <w:pPr>
              <w:spacing w:after="200"/>
            </w:pPr>
            <w:hyperlink r:id="rId46" w:history="1">
              <w:r>
                <w:rPr>
                  <w:color w:val="1e198e"/>
                  <w:b w:val="1"/>
                  <w:bCs w:val="1"/>
                  <w:u w:val="single"/>
                </w:rPr>
                <w:t xml:space="preserve">Évaluation et prévention des risques professionnels à l'officine</w:t>
              </w:r>
            </w:hyperlink>
          </w:p>
          <w:p>
            <w:pPr/>
            <w:hyperlink r:id="rId8" w:history="1">
              <w:r>
                <w:rPr>
                  <w:color w:val="#410a8c"/>
                  <w:u w:val="single"/>
                </w:rPr>
                <w:t xml:space="preserve">Marie-Catherine Concé Chemtob</w:t>
              </w:r>
            </w:hyperlink>
            <w:r>
              <w:rPr/>
              <w:t xml:space="preserve">,</w:t>
            </w:r>
            <w:hyperlink r:id="rId47" w:history="1">
              <w:r>
                <w:rPr>
                  <w:color w:val="#410a8c"/>
                  <w:u w:val="single"/>
                </w:rPr>
                <w:t xml:space="preserve">Anne Michalski</w:t>
              </w:r>
            </w:hyperlink>
            <w:r>
              <w:rPr/>
              <w:t xml:space="preserve">,</w:t>
            </w:r>
            <w:hyperlink r:id="rId48" w:history="1">
              <w:r>
                <w:rPr>
                  <w:color w:val="#410a8c"/>
                  <w:u w:val="single"/>
                </w:rPr>
                <w:t xml:space="preserve">Marie-Laure Groult</w:t>
              </w:r>
            </w:hyperlink>
            <w:r>
              <w:rPr/>
              <w:t xml:space="preserve">,</w:t>
            </w:r>
            <w:hyperlink r:id="rId49" w:history="1">
              <w:r>
                <w:rPr>
                  <w:color w:val="#410a8c"/>
                  <w:u w:val="single"/>
                </w:rPr>
                <w:t xml:space="preserve">Olivier Icard</w:t>
              </w:r>
            </w:hyperlink>
          </w:p>
          <w:p>
            <w:pPr/>
            <w:r>
              <w:rPr/>
              <w:t xml:space="preserve">2006, p 103-111</w:t>
            </w:r>
          </w:p>
          <w:p>
            <w:pPr/>
            <w:r>
              <w:rPr/>
              <w:t xml:space="preserve">Autre publication scientifique</w:t>
            </w:r>
          </w:p>
          <w:p>
            <w:pPr/>
            <w:hyperlink r:id="rId46" w:history="1">
              <w:r>
                <w:rPr>
                  <w:color w:val="#410a8c"/>
                  <w:u w:val="single"/>
                </w:rPr>
                <w:t xml:space="preserve">hal-04891927v1</w:t>
              </w:r>
            </w:hyperlink>
          </w:p>
        </w:tc>
      </w:tr>
      <w:tr>
        <w:trPr/>
        <w:tc>
          <w:tcPr>
            <w:noWrap/>
          </w:tcPr>
          <w:p>
            <w:pPr>
              <w:spacing w:after="200"/>
            </w:pPr>
            <w:hyperlink r:id="rId50" w:history="1">
              <w:r>
                <w:rPr>
                  <w:color w:val="1e198e"/>
                  <w:b w:val="1"/>
                  <w:bCs w:val="1"/>
                  <w:u w:val="single"/>
                </w:rPr>
                <w:t xml:space="preserve">La réforme des procédures communautaires d'autorisation de mise sur le marché des médicaments</w:t>
              </w:r>
            </w:hyperlink>
          </w:p>
          <w:p>
            <w:pPr/>
            <w:hyperlink r:id="rId8" w:history="1">
              <w:r>
                <w:rPr>
                  <w:color w:val="#410a8c"/>
                  <w:u w:val="single"/>
                </w:rPr>
                <w:t xml:space="preserve">Marie-Catherine Concé Chemtob</w:t>
              </w:r>
            </w:hyperlink>
          </w:p>
          <w:p>
            <w:pPr/>
            <w:r>
              <w:rPr/>
              <w:t xml:space="preserve">2004, p 419-426</w:t>
            </w:r>
          </w:p>
          <w:p>
            <w:pPr/>
            <w:r>
              <w:rPr/>
              <w:t xml:space="preserve">Autre publication scientifique</w:t>
            </w:r>
          </w:p>
          <w:p>
            <w:pPr/>
            <w:hyperlink r:id="rId50" w:history="1">
              <w:r>
                <w:rPr>
                  <w:color w:val="#410a8c"/>
                  <w:u w:val="single"/>
                </w:rPr>
                <w:t xml:space="preserve">hal-04890720v1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A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6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2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E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8106v1" TargetMode="External"/><Relationship Id="rId8" Type="http://schemas.openxmlformats.org/officeDocument/2006/relationships/hyperlink" Target="https://hal.science/search/index/?q=*&amp;authFullName_s=Marie-Catherine Conc&#233; Chemtob" TargetMode="External"/><Relationship Id="rId9" Type="http://schemas.openxmlformats.org/officeDocument/2006/relationships/hyperlink" Target="https://hal.science/hal-04909798v1" TargetMode="External"/><Relationship Id="rId10" Type="http://schemas.openxmlformats.org/officeDocument/2006/relationships/hyperlink" Target="https://hal.science/search/index/?q=*&amp;authFullName_s=Quentin Duteil" TargetMode="External"/><Relationship Id="rId11" Type="http://schemas.openxmlformats.org/officeDocument/2006/relationships/hyperlink" Target="https://hal.science/hal-04890461v1" TargetMode="External"/><Relationship Id="rId12" Type="http://schemas.openxmlformats.org/officeDocument/2006/relationships/hyperlink" Target="https://hal.science/search/index/?q=*&amp;authFullName_s=Marie-Catherine Chemtob-Conc&#233;" TargetMode="External"/><Relationship Id="rId13" Type="http://schemas.openxmlformats.org/officeDocument/2006/relationships/hyperlink" Target="https://hal.science/search/index/?q=*&amp;authFullName_s=Anne Cailleux" TargetMode="External"/><Relationship Id="rId14" Type="http://schemas.openxmlformats.org/officeDocument/2006/relationships/hyperlink" Target="https://dx.doi.org/10.1016/j.meddro.2012.12.007" TargetMode="External"/><Relationship Id="rId15" Type="http://schemas.openxmlformats.org/officeDocument/2006/relationships/hyperlink" Target="https://hal.science/hal-04886232v1" TargetMode="External"/><Relationship Id="rId16" Type="http://schemas.openxmlformats.org/officeDocument/2006/relationships/hyperlink" Target="https://hal.science/search/index/?q=*&amp;authFullName_s=Marie-Catherine Chemtob" TargetMode="External"/><Relationship Id="rId17" Type="http://schemas.openxmlformats.org/officeDocument/2006/relationships/hyperlink" Target="https://hal.science/search/index/?q=*&amp;authFullName_s=Ma&#238;tre de Conf&#233;rences-Hdr" TargetMode="External"/><Relationship Id="rId18" Type="http://schemas.openxmlformats.org/officeDocument/2006/relationships/hyperlink" Target="https://dx.doi.org/10.1016/j.meddro.2012.06.001" TargetMode="External"/><Relationship Id="rId19" Type="http://schemas.openxmlformats.org/officeDocument/2006/relationships/hyperlink" Target="https://hal.science/hal-04891720v1" TargetMode="External"/><Relationship Id="rId20" Type="http://schemas.openxmlformats.org/officeDocument/2006/relationships/hyperlink" Target="https://hal.science/hal-04909902v1" TargetMode="External"/><Relationship Id="rId21" Type="http://schemas.openxmlformats.org/officeDocument/2006/relationships/hyperlink" Target="https://hal.science/search/index/?q=*&amp;authFullName_s=Eric Fouassier" TargetMode="External"/><Relationship Id="rId22" Type="http://schemas.openxmlformats.org/officeDocument/2006/relationships/hyperlink" Target="https://hal.science/hal-04907983v1" TargetMode="External"/><Relationship Id="rId23" Type="http://schemas.openxmlformats.org/officeDocument/2006/relationships/hyperlink" Target="https://hal.science/hal-04890867v1" TargetMode="External"/><Relationship Id="rId24" Type="http://schemas.openxmlformats.org/officeDocument/2006/relationships/hyperlink" Target="https://hal.science/hal-04890807v1" TargetMode="External"/><Relationship Id="rId25" Type="http://schemas.openxmlformats.org/officeDocument/2006/relationships/hyperlink" Target="https://hal.science/hal-04891400v1" TargetMode="External"/><Relationship Id="rId26" Type="http://schemas.openxmlformats.org/officeDocument/2006/relationships/hyperlink" Target="https://hal.science/hal-04890666v1" TargetMode="External"/><Relationship Id="rId27" Type="http://schemas.openxmlformats.org/officeDocument/2006/relationships/hyperlink" Target="https://hal.science/hal-04890983v1" TargetMode="External"/><Relationship Id="rId28" Type="http://schemas.openxmlformats.org/officeDocument/2006/relationships/hyperlink" Target="https://hal.science/hal-04890966v1" TargetMode="External"/><Relationship Id="rId29" Type="http://schemas.openxmlformats.org/officeDocument/2006/relationships/hyperlink" Target="https://hal.science/hal-04890739v1" TargetMode="External"/><Relationship Id="rId30" Type="http://schemas.openxmlformats.org/officeDocument/2006/relationships/hyperlink" Target="https://hal.science/hal-04909774v1" TargetMode="External"/><Relationship Id="rId31" Type="http://schemas.openxmlformats.org/officeDocument/2006/relationships/hyperlink" Target="https://hal.science/search/index/?q=*&amp;authFullName_s=Anne Lepileur" TargetMode="External"/><Relationship Id="rId32" Type="http://schemas.openxmlformats.org/officeDocument/2006/relationships/hyperlink" Target="https://hal.science/hal-04909786v1" TargetMode="External"/><Relationship Id="rId33" Type="http://schemas.openxmlformats.org/officeDocument/2006/relationships/hyperlink" Target="https://hal.science/hal-04890830v1" TargetMode="External"/><Relationship Id="rId34" Type="http://schemas.openxmlformats.org/officeDocument/2006/relationships/hyperlink" Target="https://hal.science/hal-04891019v1" TargetMode="External"/><Relationship Id="rId35" Type="http://schemas.openxmlformats.org/officeDocument/2006/relationships/hyperlink" Target="https://hal.science/hal-04891484v1" TargetMode="External"/><Relationship Id="rId36" Type="http://schemas.openxmlformats.org/officeDocument/2006/relationships/hyperlink" Target="https://hal.science/hal-04910063v1" TargetMode="External"/><Relationship Id="rId37" Type="http://schemas.openxmlformats.org/officeDocument/2006/relationships/hyperlink" Target="https://hal.science/hal-04891963v1" TargetMode="External"/><Relationship Id="rId38" Type="http://schemas.openxmlformats.org/officeDocument/2006/relationships/hyperlink" Target="https://hal.science/hal-04909836v1" TargetMode="External"/><Relationship Id="rId39" Type="http://schemas.openxmlformats.org/officeDocument/2006/relationships/hyperlink" Target="https://hal.science/hal-04891680v1" TargetMode="External"/><Relationship Id="rId40" Type="http://schemas.openxmlformats.org/officeDocument/2006/relationships/hyperlink" Target="https://hal.science/hal-04891867v1" TargetMode="External"/><Relationship Id="rId41" Type="http://schemas.openxmlformats.org/officeDocument/2006/relationships/hyperlink" Target="https://hal.science/hal-04891613v1" TargetMode="External"/><Relationship Id="rId42" Type="http://schemas.openxmlformats.org/officeDocument/2006/relationships/hyperlink" Target="https://hal.science/hal-04910013v1" TargetMode="External"/><Relationship Id="rId43" Type="http://schemas.openxmlformats.org/officeDocument/2006/relationships/hyperlink" Target="https://hal.science/hal-04910113v1" TargetMode="External"/><Relationship Id="rId44" Type="http://schemas.openxmlformats.org/officeDocument/2006/relationships/hyperlink" Target="https://hal.science/hal-04910144v1" TargetMode="External"/><Relationship Id="rId45" Type="http://schemas.openxmlformats.org/officeDocument/2006/relationships/hyperlink" Target="https://hal.science/hal-04890568v1" TargetMode="External"/><Relationship Id="rId46" Type="http://schemas.openxmlformats.org/officeDocument/2006/relationships/hyperlink" Target="https://hal.science/hal-04891927v1" TargetMode="External"/><Relationship Id="rId47" Type="http://schemas.openxmlformats.org/officeDocument/2006/relationships/hyperlink" Target="https://hal.science/search/index/?q=*&amp;authFullName_s=Anne Michalski" TargetMode="External"/><Relationship Id="rId48" Type="http://schemas.openxmlformats.org/officeDocument/2006/relationships/hyperlink" Target="https://hal.science/search/index/?q=*&amp;authFullName_s=Marie-Laure Groult" TargetMode="External"/><Relationship Id="rId49" Type="http://schemas.openxmlformats.org/officeDocument/2006/relationships/hyperlink" Target="https://hal.science/search/index/?q=*&amp;authFullName_s=Olivier Icard" TargetMode="External"/><Relationship Id="rId50" Type="http://schemas.openxmlformats.org/officeDocument/2006/relationships/hyperlink" Target="https://hal.science/hal-04890720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marie-catherine concé chemtob</dc:title>
  <dc:description>CV</dc:description>
  <dc:subject/>
  <cp:keywords/>
  <cp:category/>
  <cp:lastModifiedBy/>
  <dcterms:created xsi:type="dcterms:W3CDTF">2026-05-01T11:10:49+02:00</dcterms:created>
  <dcterms:modified xsi:type="dcterms:W3CDTF">2026-05-01T11:10:49+02:00</dcterms:modified>
</cp:coreProperties>
</file>

<file path=docProps/custom.xml><?xml version="1.0" encoding="utf-8"?>
<Properties xmlns="http://schemas.openxmlformats.org/officeDocument/2006/custom-properties" xmlns:vt="http://schemas.openxmlformats.org/officeDocument/2006/docPropsVTypes"/>
</file>