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Marie-Joëlle Redor-Fichot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>
          <w:b w:val="1"/>
          <w:bCs w:val="1"/>
        </w:rPr>
        <w:t xml:space="preserve">Marie- Joëlle Redor-Fichot</w:t>
      </w:r>
    </w:p>
    <w:p>
      <w:pPr/>
      <w:r>
        <w:rPr>
          <w:b w:val="1"/>
          <w:bCs w:val="1"/>
        </w:rPr>
        <w:t xml:space="preserve">Professeure émérite de Droit public</w:t>
      </w:r>
    </w:p>
    <w:p>
      <w:pPr/>
      <w:r>
        <w:rPr>
          <w:b w:val="1"/>
          <w:bCs w:val="1"/>
        </w:rPr>
        <w:t xml:space="preserve">agrégée des Universités</w:t>
      </w:r>
    </w:p>
    <w:p>
      <w:pPr/>
      <w:r>
        <w:rPr>
          <w:b w:val="1"/>
          <w:bCs w:val="1"/>
        </w:rPr>
        <w:t xml:space="preserve">Université de Caen Normandie</w:t>
      </w:r>
    </w:p>
    <w:p>
      <w:pPr>
        <w:pStyle w:val="Heading5"/>
      </w:pPr>
      <w:r>
        <w:rPr>
          <w:b w:val="1"/>
          <w:bCs w:val="1"/>
        </w:rPr>
        <w:t xml:space="preserve">LISTE DES PUBLICATIONS</w:t>
      </w:r>
    </w:p>
    <w:p>
      <w:pPr>
        <w:pStyle w:val="Heading6"/>
      </w:pPr>
      <w:r>
        <w:rPr/>
        <w:t xml:space="preserve">OUVRAGES</w:t>
      </w:r>
    </w:p>
    <w:p>
      <w:pPr/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2013.</w:t>
      </w:r>
    </w:p>
    <w:p>
      <w:pPr/>
      <w:r>
        <w:rPr>
          <w:i w:val="1"/>
          <w:iCs w:val="1"/>
        </w:rPr>
        <w:t xml:space="preserve">L’ordre public. Ordre public ou ordres publics ? Ordre public et droits fondamentaux</w:t>
      </w:r>
      <w:r>
        <w:rPr/>
        <w:t xml:space="preserve">, (dir.), actes du colloque de Caen (mai 2000), Bruylant - Nemesis, 2001</w:t>
      </w:r>
    </w:p>
    <w:p>
      <w:pPr/>
      <w:r>
        <w:rPr>
          <w:i w:val="1"/>
          <w:iCs w:val="1"/>
        </w:rPr>
        <w:t xml:space="preserve">L’Union Européenne et les droits fondamentaux,</w:t>
      </w:r>
      <w:r>
        <w:rPr/>
        <w:t xml:space="preserve"> ouvrage réalisé en collaboration avec JF Akandji-Kombé et S Leclerc Actes de la journée d’études CEDECE organisée par le CRDF le 7 mai 1998, éd. Bruylant, 1999.</w:t>
      </w:r>
    </w:p>
    <w:p>
      <w:pPr/>
      <w:r>
        <w:rPr>
          <w:i w:val="1"/>
          <w:iCs w:val="1"/>
        </w:rPr>
        <w:t xml:space="preserve">De l’Etat légal à l’Etat de droit. L’évolution des conceptions de la doctrine publiciste française 1879-1914</w:t>
      </w:r>
      <w:r>
        <w:rPr/>
        <w:t xml:space="preserve">, thèse soutenue en 1988 à l’université de Paris II sous la direction de Monsieur Jean Combacau, publiée aux P.U.A.M., Economica, 1992, 389 pages.</w:t>
      </w:r>
    </w:p>
    <w:p>
      <w:pPr>
        <w:pStyle w:val="Heading6"/>
      </w:pPr>
      <w:r>
        <w:rPr/>
        <w:t xml:space="preserve">ARTICLES</w:t>
      </w:r>
    </w:p>
    <w:p>
      <w:pPr/>
      <w:r>
        <w:rPr/>
        <w:t xml:space="preserve">&amp;quot;L'article 66 de la Constitution, le juge administratif et la protection des droits du malade mental&amp;quot;,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 n° 12 à paraître en 2014</w:t>
      </w:r>
    </w:p>
    <w:p>
      <w:pPr/>
      <w:r>
        <w:rPr/>
        <w:t xml:space="preserve">&amp;quot;La jurisprudence du référé-liberté est-elle sensible à la crise ?&amp;quot;, </w:t>
      </w:r>
      <w:r>
        <w:rPr>
          <w:i w:val="1"/>
          <w:iCs w:val="1"/>
        </w:rPr>
        <w:t xml:space="preserve">in</w:t>
      </w:r>
      <w:r>
        <w:rPr/>
        <w:t xml:space="preserve"> V. Tchen, </w:t>
      </w:r>
      <w:r>
        <w:rPr>
          <w:i w:val="1"/>
          <w:iCs w:val="1"/>
        </w:rPr>
        <w:t xml:space="preserve">Les droits fondamentaux à l'épreuve de la crise économique et financière</w:t>
      </w:r>
      <w:r>
        <w:rPr/>
        <w:t xml:space="preserve">, L'Harmattan, 2013, pp. 32-53.</w:t>
      </w:r>
    </w:p>
    <w:p>
      <w:pPr/>
      <w:r>
        <w:rPr/>
        <w:t xml:space="preserve">&amp;quot; Les droits politiques et culturels en droit positif &amp;quot;, </w:t>
      </w:r>
      <w:r>
        <w:rPr>
          <w:i w:val="1"/>
          <w:iCs w:val="1"/>
        </w:rPr>
        <w:t xml:space="preserve">in</w:t>
      </w:r>
      <w:r>
        <w:rPr/>
        <w:t xml:space="preserve"> MJ Redor-Fichot (dir.), </w:t>
      </w:r>
      <w:r>
        <w:rPr>
          <w:i w:val="1"/>
          <w:iCs w:val="1"/>
        </w:rPr>
        <w:t xml:space="preserve">Roms, Tsiganes et Gens du voyage. Actes du colloque de Caen de novembre 2011</w:t>
      </w:r>
      <w:r>
        <w:rPr/>
        <w:t xml:space="preserve">, (dir.), éditions Mare et Martin, mai 2013, pp. 145-188.</w:t>
      </w:r>
    </w:p>
    <w:p>
      <w:pPr/>
      <w:r>
        <w:rPr/>
        <w:t xml:space="preserve">&amp;quot;Dispositions invocables et justiciabilité des droits de l’homme devant</w:t>
      </w:r>
      <w:br/>
      <w:r>
        <w:rPr/>
        <w:t xml:space="preserve">le juge administratif français&amp;quot;, </w:t>
      </w:r>
      <w:r>
        <w:rPr>
          <w:i w:val="1"/>
          <w:iCs w:val="1"/>
        </w:rPr>
        <w:t xml:space="preserve">in L’homme dans la société internationale</w:t>
      </w:r>
      <w:r>
        <w:rPr/>
        <w:t xml:space="preserve">, Mélanges en hommage au Professeur Paul Tavernier, Bruylant 2013, pp. 947-972.</w:t>
      </w:r>
    </w:p>
    <w:p>
      <w:pPr/>
      <w:r>
        <w:rPr/>
        <w:t xml:space="preserve">&amp;quot;Le droit à l'environnement, une liberté fondamentale en France ?&amp;quot;, </w:t>
      </w:r>
      <w:r>
        <w:rPr>
          <w:i w:val="1"/>
          <w:iCs w:val="1"/>
        </w:rPr>
        <w:t xml:space="preserve">in</w:t>
      </w:r>
      <w:r>
        <w:rPr/>
        <w:t xml:space="preserve"> C. Cournil et C Colard-Fabregoule (dir.), </w:t>
      </w:r>
      <w:r>
        <w:rPr>
          <w:i w:val="1"/>
          <w:iCs w:val="1"/>
        </w:rPr>
        <w:t xml:space="preserve">Changements environnementaux globaux et Droits de l'homme</w:t>
      </w:r>
      <w:r>
        <w:rPr/>
        <w:t xml:space="preserve">, Bruylant, 2012, pp. 225-247.</w:t>
      </w:r>
    </w:p>
    <w:p>
      <w:pPr/>
      <w:r>
        <w:rPr/>
        <w:t xml:space="preserve">&amp;quot; Le Conseil constitutionnel, la Question prioritaire de constitutionnalité et la notion de ‘droits et libertés que la Constitution garantit&amp;quot; </w:t>
      </w:r>
      <w:r>
        <w:rPr>
          <w:i w:val="1"/>
          <w:iCs w:val="1"/>
        </w:rPr>
        <w:t xml:space="preserve">Cahiers de la recherche sur les droits fondamentaux et les évolutions du droit</w:t>
      </w:r>
      <w:r>
        <w:rPr/>
        <w:t xml:space="preserve">, n° 9, 2011, pp.41-54.</w:t>
      </w:r>
    </w:p>
    <w:p>
      <w:pPr/>
      <w:r>
        <w:rPr/>
        <w:t xml:space="preserve">&amp;quot;Légitimité et droits fondamentaux&amp;quot;,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légitimité</w:t>
      </w:r>
      <w:r>
        <w:rPr/>
        <w:t xml:space="preserve">, actes du colloque de Caen novembre 2009, Bruylant/Nemesis, coll. Droit et Justice n° 96, 2011, pp. 73-97</w:t>
      </w:r>
    </w:p>
    <w:p>
      <w:pPr/>
      <w:r>
        <w:rPr/>
        <w:t xml:space="preserve">&amp;quot;Rapport de synthèse&amp;quot; </w:t>
      </w:r>
      <w:r>
        <w:rPr>
          <w:i w:val="1"/>
          <w:iCs w:val="1"/>
        </w:rPr>
        <w:t xml:space="preserve">in</w:t>
      </w:r>
      <w:r>
        <w:rPr/>
        <w:t xml:space="preserve"> JM Larralde (dir.), </w:t>
      </w:r>
      <w:r>
        <w:rPr>
          <w:i w:val="1"/>
          <w:iCs w:val="1"/>
        </w:rPr>
        <w:t xml:space="preserve">La libre disposition de son corps</w:t>
      </w:r>
      <w:r>
        <w:rPr/>
        <w:t xml:space="preserve">, Bruylant/Nemesis, coll. Droit et Justice n°88, 2009, pp. 341-354</w:t>
      </w:r>
    </w:p>
    <w:p>
      <w:pPr/>
      <w:r>
        <w:rPr/>
        <w:t xml:space="preserve">&amp;quot;L'indivisibilité des droits de l'homme&amp;quot;, </w:t>
      </w:r>
      <w:r>
        <w:rPr>
          <w:i w:val="1"/>
          <w:iCs w:val="1"/>
        </w:rPr>
        <w:t xml:space="preserve">Cahiers de la Recherche sur les Droits Fondamentaux</w:t>
      </w:r>
      <w:r>
        <w:rPr/>
        <w:t xml:space="preserve">, P.U.C, n° 7, 2009, pp. 75-85</w:t>
      </w:r>
    </w:p>
    <w:p>
      <w:pPr/>
      <w:r>
        <w:rPr/>
        <w:t xml:space="preserve">&amp;quot;Le droit à l'environnement, droit fondamental et liberté fondamentale ?&amp;quot;, </w:t>
      </w:r>
      <w:r>
        <w:rPr>
          <w:i w:val="1"/>
          <w:iCs w:val="1"/>
        </w:rPr>
        <w:t xml:space="preserve">in Droit de l'environnement</w:t>
      </w:r>
      <w:r>
        <w:rPr/>
        <w:t xml:space="preserve">, n° spécial, Actes du colloque pluridisciplinaire de Caen sur l'environnement, juillet/août 2008, n° 160, pp. 19-20</w:t>
      </w:r>
    </w:p>
    <w:p>
      <w:pPr/>
      <w:r>
        <w:rPr/>
        <w:t xml:space="preserve">&amp;quot;Universalisme et pluralisme&amp;quot;, pp. 163-194, </w:t>
      </w:r>
      <w:r>
        <w:rPr>
          <w:i w:val="1"/>
          <w:iCs w:val="1"/>
        </w:rPr>
        <w:t xml:space="preserve">in</w:t>
      </w:r>
      <w:r>
        <w:rPr/>
        <w:t xml:space="preserve"> L. Fontaine (dir.), </w:t>
      </w:r>
      <w:r>
        <w:rPr>
          <w:i w:val="1"/>
          <w:iCs w:val="1"/>
        </w:rPr>
        <w:t xml:space="preserve">Droit et pluralisme</w:t>
      </w:r>
      <w:r>
        <w:rPr/>
        <w:t xml:space="preserve">, Bruylant/Nemesis, coll. Droit et Justice n° 76, 2007, pp. 163-194.</w:t>
      </w:r>
    </w:p>
    <w:p>
      <w:pPr/>
      <w:r>
        <w:rPr/>
        <w:t xml:space="preserve">&amp;quot;Rapport introductif &amp;quot;, </w:t>
      </w:r>
      <w:r>
        <w:rPr>
          <w:i w:val="1"/>
          <w:iCs w:val="1"/>
        </w:rPr>
        <w:t xml:space="preserve">in</w:t>
      </w:r>
      <w:r>
        <w:rPr/>
        <w:t xml:space="preserve"> S. Leclerc et JF Akandji-Kombé, </w:t>
      </w:r>
      <w:r>
        <w:rPr>
          <w:i w:val="1"/>
          <w:iCs w:val="1"/>
        </w:rPr>
        <w:t xml:space="preserve">La citoyenneté européenne</w:t>
      </w:r>
      <w:r>
        <w:rPr/>
        <w:t xml:space="preserve">, Bruylant collection Rencontres européennes 2006, pp. 7-8</w:t>
      </w:r>
    </w:p>
    <w:p>
      <w:pPr/>
      <w:r>
        <w:rPr/>
        <w:t xml:space="preserve">&amp;quot;L'article 3 de la Convention européenne des droits de l'homme dans la jurisprudence administrative&amp;quot;, </w:t>
      </w:r>
      <w:r>
        <w:rPr>
          <w:i w:val="1"/>
          <w:iCs w:val="1"/>
        </w:rPr>
        <w:t xml:space="preserve">in</w:t>
      </w:r>
      <w:r>
        <w:rPr/>
        <w:t xml:space="preserve"> C-A Chassin (dir), </w:t>
      </w:r>
      <w:r>
        <w:rPr>
          <w:i w:val="1"/>
          <w:iCs w:val="1"/>
        </w:rPr>
        <w:t xml:space="preserve">L'article 3 de la Convention européenne de sauvegarde des droits de l'homme et des libertés fondamentales</w:t>
      </w:r>
      <w:r>
        <w:rPr/>
        <w:t xml:space="preserve">, Bruylant, 2006, pp. 69-100</w:t>
      </w:r>
    </w:p>
    <w:p>
      <w:pPr/>
      <w:r>
        <w:rPr/>
        <w:t xml:space="preserve">&amp;quot;Laïcité et principe de non discrimination&amp;quot;,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n°4, 2005, pp. 87-98.</w:t>
      </w:r>
    </w:p>
    <w:p>
      <w:pPr/>
      <w:r>
        <w:rPr/>
        <w:t xml:space="preserve">&amp;quot;Synthèse du colloque Surveiller et punir&amp;quot;,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n°3, 2004,  pp. 77-80, 2004</w:t>
      </w:r>
    </w:p>
    <w:p>
      <w:pPr/>
      <w:r>
        <w:rPr/>
        <w:t xml:space="preserve">&amp;quot;Editorial&amp;quot;,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CRDFED, n°2, pp 7-8, 2003</w:t>
      </w:r>
    </w:p>
    <w:p>
      <w:pPr/>
      <w:r>
        <w:rPr/>
        <w:t xml:space="preserve">&amp;quot;Garantie juridictionnelle et droits fondamentaux &amp;quot;, </w:t>
      </w:r>
      <w:r>
        <w:rPr>
          <w:i w:val="1"/>
          <w:iCs w:val="1"/>
        </w:rPr>
        <w:t xml:space="preserve">Les Cahiers de la Recherche sur les Droits Fondamentaux,</w:t>
      </w:r>
      <w:r>
        <w:rPr/>
        <w:t xml:space="preserve"> revue du CRDF, n°1, pages 91-101, juillet 2002.</w:t>
      </w:r>
    </w:p>
    <w:p>
      <w:pPr/>
      <w:r>
        <w:rPr/>
        <w:t xml:space="preserve">&amp;quot;La vocation de l’Union Européenne à protéger les droits fondamentaux&amp;quot;, </w:t>
      </w:r>
      <w:r>
        <w:rPr>
          <w:i w:val="1"/>
          <w:iCs w:val="1"/>
        </w:rPr>
        <w:t xml:space="preserve">in</w:t>
      </w:r>
      <w:r>
        <w:rPr/>
        <w:t xml:space="preserve"> S. Leclerc, J-F Akandji-Kombé et M-J Redor (dir.), </w:t>
      </w:r>
      <w:r>
        <w:rPr>
          <w:i w:val="1"/>
          <w:iCs w:val="1"/>
        </w:rPr>
        <w:t xml:space="preserve">L’Union Européenne et les droits fondamentaux,</w:t>
      </w:r>
      <w:r>
        <w:rPr/>
        <w:t xml:space="preserve"> Actes de la journée d’études CEDECE organisée par le CRDF le 7 mai 1998, éd. Bruylant, 1999, pp. 13-30.</w:t>
      </w:r>
    </w:p>
    <w:p>
      <w:pPr/>
      <w:r>
        <w:rPr/>
        <w:t xml:space="preserve">&amp;quot;La démocratie dans la jurisprudence du Conseil Constitutionnel et dans ses représentations&amp;quot;, </w:t>
      </w:r>
      <w:r>
        <w:rPr>
          <w:i w:val="1"/>
          <w:iCs w:val="1"/>
        </w:rPr>
        <w:t xml:space="preserve">La légitimité de la jurisprudence du Conseil Constitutionnel</w:t>
      </w:r>
      <w:r>
        <w:rPr/>
        <w:t xml:space="preserve">, éditions Economica, collection Etudes juridiques, 1999, p.345-361.</w:t>
      </w:r>
    </w:p>
    <w:p>
      <w:pPr/>
      <w:r>
        <w:rPr/>
        <w:t xml:space="preserve">&amp;quot;Le séjour des apatrides et des demandeurs du statut d’apatride&amp;quot;, </w:t>
      </w:r>
      <w:r>
        <w:rPr>
          <w:i w:val="1"/>
          <w:iCs w:val="1"/>
        </w:rPr>
        <w:t xml:space="preserve">A.J.D.A.</w:t>
      </w:r>
      <w:r>
        <w:rPr/>
        <w:t xml:space="preserve"> juin 1998, p.483-487.</w:t>
      </w:r>
    </w:p>
    <w:p>
      <w:pPr/>
      <w:r>
        <w:rPr/>
        <w:t xml:space="preserve">&amp;quot;La société démocratique européenne&amp;quot;, </w:t>
      </w:r>
      <w:r>
        <w:rPr>
          <w:i w:val="1"/>
          <w:iCs w:val="1"/>
        </w:rPr>
        <w:t xml:space="preserve">in</w:t>
      </w:r>
      <w:r>
        <w:rPr/>
        <w:t xml:space="preserve"> C. Grewe, </w:t>
      </w:r>
      <w:r>
        <w:rPr>
          <w:i w:val="1"/>
          <w:iCs w:val="1"/>
        </w:rPr>
        <w:t xml:space="preserve">Questions sur le droit européen</w:t>
      </w:r>
      <w:r>
        <w:rPr/>
        <w:t xml:space="preserve"> , Presses universitaires de Caen, 1996, pages 69-98.</w:t>
      </w:r>
    </w:p>
    <w:p>
      <w:pPr/>
      <w:r>
        <w:rPr/>
        <w:t xml:space="preserve">En collaboration avec Etienne Fatôme, &amp;quot;Le juge administratif et le développement du partenariat&amp;quot;, </w:t>
      </w:r>
      <w:r>
        <w:rPr>
          <w:i w:val="1"/>
          <w:iCs w:val="1"/>
        </w:rPr>
        <w:t xml:space="preserve">in</w:t>
      </w:r>
      <w:r>
        <w:rPr/>
        <w:t xml:space="preserve"> G. Gardavaud et H. Oberdorff, </w:t>
      </w:r>
      <w:r>
        <w:rPr>
          <w:i w:val="1"/>
          <w:iCs w:val="1"/>
        </w:rPr>
        <w:t xml:space="preserve">Le juge administratif à l’aube du XXIème siècle</w:t>
      </w:r>
      <w:r>
        <w:rPr/>
        <w:t xml:space="preserve">, Presses universitaires de Grenoble, 1995, pages 93-113.</w:t>
      </w:r>
    </w:p>
    <w:p>
      <w:pPr/>
      <w:r>
        <w:rPr/>
        <w:t xml:space="preserve">&amp;quot;C’est la faute à Rousseau… Les juristes contre les parlementaires sous la Troisième République&amp;quot;, </w:t>
      </w:r>
      <w:r>
        <w:rPr>
          <w:i w:val="1"/>
          <w:iCs w:val="1"/>
        </w:rPr>
        <w:t xml:space="preserve">Politix</w:t>
      </w:r>
      <w:r>
        <w:rPr/>
        <w:t xml:space="preserve"> n°32, 1995, pages 89-96.</w:t>
      </w:r>
    </w:p>
    <w:p>
      <w:pPr/>
      <w:r>
        <w:rPr/>
        <w:t xml:space="preserve">En collaboration avec Etienne Fatôme, commentaire de l’arrêt </w:t>
      </w:r>
      <w:r>
        <w:rPr>
          <w:i w:val="1"/>
          <w:iCs w:val="1"/>
        </w:rPr>
        <w:t xml:space="preserve">Société Textron</w:t>
      </w:r>
      <w:r>
        <w:rPr/>
        <w:t xml:space="preserve"> CE 17 février 1992 : &amp;quot;L’identification du service public&amp;quot;, </w:t>
      </w:r>
      <w:r>
        <w:rPr>
          <w:i w:val="1"/>
          <w:iCs w:val="1"/>
        </w:rPr>
        <w:t xml:space="preserve">La Revue administrative</w:t>
      </w:r>
      <w:r>
        <w:rPr/>
        <w:t xml:space="preserve"> 1992, n°270 , pages 523-527.</w:t>
      </w:r>
    </w:p>
    <w:p>
      <w:pPr/>
      <w:r>
        <w:rPr/>
        <w:t xml:space="preserve">Corrigé du sujet d’examen de droit administratif DEUG 2ème année, Université de Caen, session de juin 1992, </w:t>
      </w:r>
      <w:r>
        <w:rPr>
          <w:i w:val="1"/>
          <w:iCs w:val="1"/>
        </w:rPr>
        <w:t xml:space="preserve">Annales du droit 1992 - Droit administratif</w:t>
      </w:r>
      <w:r>
        <w:rPr/>
        <w:t xml:space="preserve">, Dalloz 1992, pages 12-18.</w:t>
      </w:r>
    </w:p>
    <w:p>
      <w:pPr/>
      <w:r>
        <w:rPr/>
        <w:t xml:space="preserve">&amp;quot;L’Etat dans la doctrine publiciste française du début du siècle&amp;quot;, </w:t>
      </w:r>
      <w:r>
        <w:rPr>
          <w:i w:val="1"/>
          <w:iCs w:val="1"/>
        </w:rPr>
        <w:t xml:space="preserve">Droits</w:t>
      </w:r>
      <w:r>
        <w:rPr/>
        <w:t xml:space="preserve"> n°15, 1992, pages 91-100.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fondamentaux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Akandji-Kombé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Éditions Bruylant, pp.235, 1999, 9782802712558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l'état légal à l'état de droit. L’évolution des conceptions de la doctrine publiciste française 1879-1914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r>
              <w:rPr/>
              <w:t xml:space="preserve">Droit. Université Paris 2, 1988.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1988PA02T078⟩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tel-03366507v1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42443v1" TargetMode="External"/><Relationship Id="rId8" Type="http://schemas.openxmlformats.org/officeDocument/2006/relationships/hyperlink" Target="https://hal.science/search/index/?q=*&amp;authFullName_s=Eleonora Bottini" TargetMode="External"/><Relationship Id="rId9" Type="http://schemas.openxmlformats.org/officeDocument/2006/relationships/hyperlink" Target="https://hal.science/search/index/?q=*&amp;authFullName_s=Thibault Larrouturou" TargetMode="External"/><Relationship Id="rId10" Type="http://schemas.openxmlformats.org/officeDocument/2006/relationships/hyperlink" Target="https://hal.science/search/index/?q=*&amp;authFullName_s=Fr&#233;d&#233;rick Lemarchand" TargetMode="External"/><Relationship Id="rId11" Type="http://schemas.openxmlformats.org/officeDocument/2006/relationships/hyperlink" Target="https://hal.science/search/index/?q=*&amp;authFullName_s=Marie Rota" TargetMode="External"/><Relationship Id="rId12" Type="http://schemas.openxmlformats.org/officeDocument/2006/relationships/hyperlink" Target="https://hal.science/search/index/?q=*&amp;authFullName_s=Dominique Rousseau" TargetMode="External"/><Relationship Id="rId13" Type="http://schemas.openxmlformats.org/officeDocument/2006/relationships/hyperlink" Target="https://hal.science/hal-01350798v1" TargetMode="External"/><Relationship Id="rId14" Type="http://schemas.openxmlformats.org/officeDocument/2006/relationships/hyperlink" Target="https://hal.science/search/index/?q=*&amp;authFullName_s=Xavier Aurey" TargetMode="External"/><Relationship Id="rId15" Type="http://schemas.openxmlformats.org/officeDocument/2006/relationships/hyperlink" Target="https://hal.science/search/index/?q=*&amp;authFullName_s=Redor-Fichot Marie-Jo&#235;lle" TargetMode="External"/><Relationship Id="rId16" Type="http://schemas.openxmlformats.org/officeDocument/2006/relationships/hyperlink" Target="https://www.unicaen.fr/puc/html/spip43c1.html?article993" TargetMode="External"/><Relationship Id="rId17" Type="http://schemas.openxmlformats.org/officeDocument/2006/relationships/hyperlink" Target="https://normandie-univ.hal.science/hal-04261786v1" TargetMode="External"/><Relationship Id="rId18" Type="http://schemas.openxmlformats.org/officeDocument/2006/relationships/hyperlink" Target="https://hal.science/search/index/?q=*&amp;authFullName_s=St&#233;phane Leclerc" TargetMode="External"/><Relationship Id="rId19" Type="http://schemas.openxmlformats.org/officeDocument/2006/relationships/hyperlink" Target="https://hal.science/search/index/?q=*&amp;authFullName_s=Jean-Fran&#231;ois Akandji-Komb&#233;" TargetMode="External"/><Relationship Id="rId20" Type="http://schemas.openxmlformats.org/officeDocument/2006/relationships/hyperlink" Target="https://normandie-univ.hal.science/tel-03366507v1" TargetMode="External"/><Relationship Id="rId21" Type="http://schemas.openxmlformats.org/officeDocument/2006/relationships/hyperlink" Target="https://www.theses.fr/1988PA02T0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Marie-Joëlle Redor-Fichot</dc:title>
  <dc:description>CV</dc:description>
  <dc:subject/>
  <cp:keywords/>
  <cp:category/>
  <cp:lastModifiedBy/>
  <dcterms:created xsi:type="dcterms:W3CDTF">2026-04-07T09:59:41+02:00</dcterms:created>
  <dcterms:modified xsi:type="dcterms:W3CDTF">2026-04-07T09:59:41+02:00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