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Baconnet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des exigences RSE en pratiques industrielles Les raisons du découplage entre une stratégie de réindustrialisation et son déploiement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Baconnet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XXXIIIeme congrès</w:t>
            </w:r>
            <w:r>
              <w:rPr/>
              <w:t xml:space="preserve">, AIMS,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et santé mentale :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Baconnet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Cynthia Fleury-Perkins</w:t>
              </w:r>
            </w:hyperlink>
          </w:p>
          <w:p>
            <w:pPr/>
            <w:r>
              <w:rPr/>
              <w:t xml:space="preserve">[Travaux universitaires] Chaire Humanité et santé (Cnam); Chaire de philosophie à l'hôpital (GHU Paris Psychiatrie et neurosciences).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hal-03244359v1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8152v1" TargetMode="External"/><Relationship Id="rId8" Type="http://schemas.openxmlformats.org/officeDocument/2006/relationships/hyperlink" Target="https://hal.science/search/index/?q=*&amp;authFullName_s=Marine Baconnet" TargetMode="External"/><Relationship Id="rId9" Type="http://schemas.openxmlformats.org/officeDocument/2006/relationships/hyperlink" Target="https://hal.science/search/index/?q=*&amp;authFullName_s=C&#233;dric Dalmasso" TargetMode="External"/><Relationship Id="rId10" Type="http://schemas.openxmlformats.org/officeDocument/2006/relationships/hyperlink" Target="https://cnam.hal.science/hal-03244359v1" TargetMode="External"/><Relationship Id="rId11" Type="http://schemas.openxmlformats.org/officeDocument/2006/relationships/hyperlink" Target="https://hal.science/search/index/?q=*&amp;authFullName_s=Cynthia Fleury-Perkins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Baconnet</dc:title>
  <dc:description>CV</dc:description>
  <dc:subject/>
  <cp:keywords/>
  <cp:category/>
  <cp:lastModifiedBy/>
  <dcterms:created xsi:type="dcterms:W3CDTF">2026-03-05T11:44:22+01:00</dcterms:created>
  <dcterms:modified xsi:type="dcterms:W3CDTF">2026-03-05T11:44:22+01:00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