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Maroua NEJI </w:t>
      </w:r>
      <w:r>
        <w:rPr>
          <w:color w:val="641e6e"/>
        </w:rPr>
        <w:t xml:space="preserve">Doctorante en droit public à la Faculté de droit et de science politique, Université de Montpellier et chargée de travaux dirigés à l'Université Paris 1 Panthéon Sorbonne.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Comité des droits de l’homme, Tatiana Kisileva c. Suède, 25 mars 2024, communication n° 3245/2018, U.N. doc. CCPR/C/140/D/3245/2018 (Chronique des constatations des comités conventionnels des Nations Unies)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pacifisme au XXIe siècle – Rencontres annuelles de l’Institut pour la paix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hal-05298041v1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271v1" TargetMode="External"/><Relationship Id="rId8" Type="http://schemas.openxmlformats.org/officeDocument/2006/relationships/hyperlink" Target="https://hal.science/search/index/?q=*&amp;authFullName_s=Maroua Neji" TargetMode="External"/><Relationship Id="rId9" Type="http://schemas.openxmlformats.org/officeDocument/2006/relationships/hyperlink" Target="https://hal.science/hal-0529804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Maroua NEJI</dc:title>
  <dc:description>CV</dc:description>
  <dc:subject/>
  <cp:keywords/>
  <cp:category/>
  <cp:lastModifiedBy/>
  <dcterms:created xsi:type="dcterms:W3CDTF">2026-03-05T10:08:12+01:00</dcterms:created>
  <dcterms:modified xsi:type="dcterms:W3CDTF">2026-03-05T10:08:12+01:00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